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7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7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 xml:space="preserve">об условиях приватизации кра</w:t>
      </w:r>
      <w:r>
        <w:rPr>
          <w:b/>
          <w:sz w:val="28"/>
          <w:szCs w:val="28"/>
          <w:highlight w:val="white"/>
        </w:rPr>
        <w:t xml:space="preserve">евого имущества, реквизиты указанного решения:</w:t>
      </w:r>
      <w:r>
        <w:rPr>
          <w:sz w:val="28"/>
          <w:szCs w:val="28"/>
          <w:highlight w:val="white"/>
        </w:rPr>
        <w:t xml:space="preserve"> Министерство по управлению имуществом и градостроительной деятельности Пермского края; приказ Министерства по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от 18</w:t>
      </w:r>
      <w:r>
        <w:rPr>
          <w:sz w:val="28"/>
          <w:szCs w:val="28"/>
          <w:highlight w:val="white"/>
        </w:rPr>
        <w:t xml:space="preserve"> сентября</w:t>
      </w:r>
      <w:r>
        <w:rPr>
          <w:sz w:val="28"/>
          <w:szCs w:val="28"/>
          <w:highlight w:val="white"/>
        </w:rPr>
        <w:t xml:space="preserve">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г.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31-02-1-4-</w:t>
      </w:r>
      <w:r>
        <w:rPr>
          <w:sz w:val="28"/>
          <w:szCs w:val="28"/>
          <w:highlight w:val="white"/>
        </w:rPr>
        <w:t xml:space="preserve">2188</w:t>
      </w:r>
      <w:r>
        <w:rPr>
          <w:sz w:val="28"/>
          <w:szCs w:val="28"/>
          <w:highlight w:val="white"/>
        </w:rPr>
        <w:t xml:space="preserve"> «</w:t>
      </w:r>
      <w:r>
        <w:rPr>
          <w:sz w:val="28"/>
          <w:szCs w:val="28"/>
          <w:highlight w:val="white"/>
        </w:rPr>
        <w:t xml:space="preserve">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</w:t>
      </w:r>
      <w:r>
        <w:rPr>
          <w:sz w:val="28"/>
          <w:szCs w:val="28"/>
        </w:rPr>
        <w:t xml:space="preserve">наследия (памятников истории </w:t>
      </w:r>
      <w:r>
        <w:rPr>
          <w:sz w:val="28"/>
          <w:szCs w:val="28"/>
        </w:rPr>
        <w:br/>
        <w:t xml:space="preserve">и культуры) народов Российской Федерации, на конкурсе в электронной форме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Здание, офтальмологическое отделение, кадастровый номер 81:07:0049003:37, назначение: нежилое, площадь: 1195,7 кв. м, по адресу: Российская Федерация, край Пермский, муниципальный округ Кудымкарский, город Кудымкар, улица Яковкина, дом 4</w:t>
      </w:r>
      <w:r>
        <w:rPr>
          <w:sz w:val="28"/>
          <w:szCs w:val="28"/>
        </w:rPr>
        <w:t xml:space="preserve"> (далее – Объект)</w:t>
      </w:r>
      <w:r>
        <w:rPr>
          <w:sz w:val="28"/>
          <w:szCs w:val="28"/>
        </w:rPr>
        <w:t xml:space="preserve">, являющееся объектом культурного наследия регионального значения «Здание окружного трахоматозного диспансера,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где в 1952-1959 гг. работал заслуженный врач РСФСР окулист В.А.Коркин»,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распоряжением губернатора Пермской области от 5 декабря 2000 г. № 713-р «О государственном учете недвижимых памятников истории и культуры Пермского края регионального значения», признанное находящимся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неудовлетворительном состоянии на основании приказа Государственной инспекции по охране объектов культурного наследия Пермского края от 25 декабря 2025 г. № Пр55-01-06-384 «Об о</w:t>
      </w:r>
      <w:r>
        <w:rPr>
          <w:sz w:val="28"/>
          <w:szCs w:val="28"/>
        </w:rPr>
        <w:t xml:space="preserve">тнесении объекта культурного наследия регионального значения «Здание окружного трахоматозного диспансера, где в 1952-1959 гг. работал заслуженный врач РСФСР окулист В.А. Коркин» к объектам культурного наследия, находящимся в неудовлетворительном состоянии»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охранное обязательство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«Здание окружного трахом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тозного диспансера, где в 1952-1959 гг. работал заслуженный врач РСФСР окулист В.А. Коркин», утвержденн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приказом Государственной инспекции по охране объектов культурного наследия Пермского края от 21 мая 2026 г.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Пр55-01-0</w:t>
      </w:r>
      <w:r>
        <w:rPr>
          <w:sz w:val="28"/>
          <w:szCs w:val="28"/>
        </w:rPr>
        <w:t xml:space="preserve">6-192 «Об утверждении охранного обязательства собственника или иного законного владельца объекта культурного наследия регионального значения «Здание окружного трахоматозного диспансера, где в 1952-1959 гг. работал заслуженный врач РСФСР окулист В.А.Коркин»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Приватизация Объекта осуществляется с одновременным предоставлением победителю конкурса земельного участка площадью 4231 кв.м. с кадастровым </w:t>
      </w:r>
      <w:r>
        <w:rPr>
          <w:sz w:val="28"/>
          <w:szCs w:val="28"/>
        </w:rPr>
        <w:t xml:space="preserve">номером 81:07:0049003:98, категория земель: земли населенных пунктов, виды разрешенного использования: </w:t>
      </w:r>
      <w:r>
        <w:rPr>
          <w:sz w:val="28"/>
          <w:szCs w:val="28"/>
        </w:rPr>
        <w:t xml:space="preserve">для оздоровительной деятельности</w:t>
      </w:r>
      <w:r>
        <w:rPr>
          <w:sz w:val="28"/>
          <w:szCs w:val="28"/>
        </w:rPr>
        <w:t xml:space="preserve">, адрес: Российская Федерация, Пермский край, муниципальный округ Кудымкарский, город Кудымкар, улица Яковкина, з/у 4, занимаемого Объектом и необходимого для его использования,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аренду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00 копеек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»): </w:t>
      </w:r>
      <w:r>
        <w:rPr>
          <w:sz w:val="28"/>
          <w:szCs w:val="28"/>
        </w:rPr>
        <w:t xml:space="preserve">599 033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Пятьсот девяносто девять тысяч тридцать три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74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с учетом НДС, что составляет 5% 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2 396 134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Два миллиона триста девяносто шесть тысяч сто тридцать четыре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97</w:t>
      </w:r>
      <w:r>
        <w:rPr>
          <w:sz w:val="28"/>
          <w:szCs w:val="28"/>
        </w:rPr>
        <w:t xml:space="preserve"> копеек, что составляет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0%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iCs/>
          <w:sz w:val="28"/>
          <w:szCs w:val="28"/>
        </w:rPr>
      </w:pPr>
      <w:r>
        <w:rPr>
          <w:iCs/>
          <w:sz w:val="28"/>
          <w:szCs w:val="28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</w:rPr>
        <w:t xml:space="preserve"> Победителю конкурса возвращается часть задатка в сумме, превышающей цену приобретения данного имущества.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4. Способ приватизации краевого имущества: </w:t>
      </w:r>
      <w:r>
        <w:rPr>
          <w:sz w:val="28"/>
          <w:szCs w:val="28"/>
        </w:rPr>
        <w:t xml:space="preserve">продажа краевого имущества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электронной площадке </w:t>
      </w:r>
      <w:r>
        <w:rPr>
          <w:sz w:val="28"/>
          <w:szCs w:val="28"/>
        </w:rPr>
        <w:br/>
        <w:t xml:space="preserve">АО «Сбербанк-Автоматизированная система торгов», включенной</w:t>
      </w:r>
      <w:r>
        <w:rPr>
          <w:sz w:val="28"/>
          <w:szCs w:val="28"/>
        </w:rPr>
        <w:t xml:space="preserve">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lang w:val="en-US"/>
        </w:rPr>
        <w:t xml:space="preserve">http</w:t>
      </w:r>
      <w:r>
        <w:rPr>
          <w:sz w:val="28"/>
          <w:szCs w:val="28"/>
        </w:rPr>
        <w:t xml:space="preserve">://</w:t>
      </w:r>
      <w:r>
        <w:rPr>
          <w:sz w:val="28"/>
          <w:szCs w:val="28"/>
          <w:lang w:val="en-US"/>
        </w:rPr>
        <w:t xml:space="preserve">utp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sberbank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ast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AP</w:t>
      </w:r>
      <w:r>
        <w:rPr>
          <w:rStyle w:val="891"/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Форма подачи предложений о цене краевого имущества:</w:t>
      </w:r>
      <w:r>
        <w:rPr>
          <w:sz w:val="28"/>
          <w:szCs w:val="28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 Подача предложений </w:t>
      </w:r>
      <w:r>
        <w:rPr>
          <w:sz w:val="28"/>
          <w:szCs w:val="28"/>
        </w:rPr>
        <w:br/>
        <w:t xml:space="preserve">о цене имущества осуществляется в «личном кабинете» участника посредством штатного интерфейса в день и время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</w:rPr>
        <w:br/>
        <w:t xml:space="preserve">в сети «Интернет».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претенденты перечисляют задаток </w:t>
      </w:r>
      <w:r>
        <w:rPr>
          <w:sz w:val="28"/>
          <w:szCs w:val="28"/>
        </w:rPr>
        <w:br/>
        <w:t xml:space="preserve">в установле</w:t>
      </w:r>
      <w:r>
        <w:rPr>
          <w:sz w:val="28"/>
          <w:szCs w:val="28"/>
          <w:highlight w:val="white"/>
        </w:rPr>
        <w:t xml:space="preserve">нном настоящим Информационном сообщении размере в счет обеспечения оплаты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42"/>
        <w:ind w:left="0" w:firstLine="709"/>
        <w:spacing w:line="28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 «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15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» 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октября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продаже краевого имущества на 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в электронной форме. Лот №__.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Настоящее Информационное сообщ</w:t>
      </w:r>
      <w:r>
        <w:rPr>
          <w:sz w:val="28"/>
          <w:szCs w:val="28"/>
        </w:rPr>
        <w:t xml:space="preserve">ение является публичной офертой </w:t>
      </w:r>
      <w:r>
        <w:rPr>
          <w:sz w:val="28"/>
          <w:szCs w:val="28"/>
        </w:rPr>
        <w:br/>
        <w:t xml:space="preserve">для зак</w:t>
      </w:r>
      <w:r>
        <w:rPr>
          <w:sz w:val="28"/>
          <w:szCs w:val="28"/>
        </w:rPr>
        <w:t xml:space="preserve">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Лицам, перечислившим задаток для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, денежные средства возвращаются в следующем порядке: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участникам, за исключением его победителя - в течение пяти дней с даты подведения итогов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претендентам, не допущенным к участию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, - в течение </w:t>
      </w:r>
      <w:r>
        <w:rPr>
          <w:sz w:val="28"/>
          <w:szCs w:val="28"/>
        </w:rPr>
        <w:br/>
        <w:t xml:space="preserve">5 календарных дней со дня подписания протокола о признании претендентов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sz w:val="28"/>
          <w:szCs w:val="28"/>
        </w:rPr>
        <w:br/>
        <w:t xml:space="preserve">со дня поступления уведомления об отзыве заявки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</w:t>
      </w:r>
      <w:r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от заключения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установленный срок договора купли-продажи имущества </w:t>
      </w:r>
      <w:r>
        <w:rPr>
          <w:sz w:val="28"/>
          <w:szCs w:val="28"/>
        </w:rPr>
        <w:t xml:space="preserve">результаты конкурса аннулируются продавцом, победитель утрачивает право на заключение указанного договора, задаток ему не возвращается.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Порядок, дата и время регистрации на сайте в сети «Интернет» претендентов и подачи заявок на участие в </w:t>
      </w:r>
      <w:r>
        <w:rPr>
          <w:b/>
          <w:bCs/>
          <w:sz w:val="28"/>
          <w:szCs w:val="28"/>
        </w:rPr>
        <w:t xml:space="preserve">конкурсе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д</w:t>
      </w:r>
      <w:r>
        <w:rPr>
          <w:sz w:val="28"/>
          <w:szCs w:val="28"/>
        </w:rPr>
        <w:t xml:space="preserve">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</w:rPr>
        <w:br/>
        <w:t xml:space="preserve">не зарегистрированные на электронной площадке, или регистрация которых </w:t>
      </w:r>
      <w:r>
        <w:rPr>
          <w:sz w:val="28"/>
          <w:szCs w:val="28"/>
        </w:rPr>
        <w:br/>
        <w:t xml:space="preserve">на электронной площадке была ими прекращена.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</w:rPr>
        <w:br/>
        <w:t xml:space="preserve"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</w:rPr>
        <w:br/>
        <w:t xml:space="preserve">АО «Сбербанк-АСТ» размещена по адресу: </w:t>
      </w:r>
      <w:hyperlink r:id="rId10" w:tooltip="http://utp.sberbank-ast.ru/AP/Notice/652/Instructions" w:history="1">
        <w:r>
          <w:rPr>
            <w:rStyle w:val="891"/>
            <w:rFonts w:eastAsia="Arial"/>
            <w:sz w:val="28"/>
            <w:szCs w:val="28"/>
          </w:rPr>
          <w:t xml:space="preserve">http://utp.sberbank-ast.ru/AP/Notice/652/Instructions</w:t>
        </w:r>
      </w:hyperlink>
      <w:r>
        <w:rPr>
          <w:rStyle w:val="891"/>
          <w:sz w:val="28"/>
          <w:szCs w:val="28"/>
          <w:u w:val="non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</w:rPr>
        <w:br/>
        <w:t xml:space="preserve">в форме электронных документов либо электронных образов документов (документов на бумажном носителе, пре</w:t>
      </w:r>
      <w:r>
        <w:rPr>
          <w:sz w:val="28"/>
          <w:szCs w:val="28"/>
        </w:rPr>
        <w:t xml:space="preserve">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Прием заявок и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Подача заявки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осуществляется претендентом, зарегистрированным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</w:t>
      </w:r>
      <w:r>
        <w:rPr>
          <w:sz w:val="28"/>
          <w:szCs w:val="28"/>
        </w:rPr>
        <w:t xml:space="preserve">АО «Сбербанк-АСТ» </w:t>
      </w:r>
      <w:r>
        <w:rPr>
          <w:sz w:val="28"/>
          <w:szCs w:val="28"/>
        </w:rPr>
        <w:t xml:space="preserve">торговой секции «</w:t>
      </w:r>
      <w:r>
        <w:rPr>
          <w:sz w:val="28"/>
          <w:szCs w:val="28"/>
        </w:rPr>
        <w:t xml:space="preserve">Приватизация, аренда и продажа прав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</w:rPr>
        <w:br/>
        <w:t xml:space="preserve">в открытой для доступа неограниченного круга лиц части электронной площадки (</w:t>
      </w:r>
      <w:r>
        <w:rPr>
          <w:sz w:val="28"/>
          <w:szCs w:val="28"/>
        </w:rPr>
        <w:t xml:space="preserve">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физические лица: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копии всех листов документа, удостоверяющего личность;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юридические лица: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заверенные копии учредительных документов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документ, содержащий сведения о доле Российской Фед</w:t>
      </w:r>
      <w:r>
        <w:rPr>
          <w:sz w:val="28"/>
          <w:szCs w:val="28"/>
        </w:rPr>
        <w:t xml:space="preserve">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</w:t>
      </w:r>
      <w:r>
        <w:rPr>
          <w:sz w:val="28"/>
          <w:szCs w:val="28"/>
        </w:rPr>
        <w:t xml:space="preserve">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Одно лицо имеет право подать только одну заявку на один объект приватизации.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должна соответствовать требованиям Продавца.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подачу претен</w:t>
      </w:r>
      <w:r>
        <w:rPr>
          <w:sz w:val="28"/>
          <w:szCs w:val="28"/>
        </w:rPr>
        <w:t xml:space="preserve">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sz w:val="28"/>
          <w:szCs w:val="28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</w:rPr>
        <w:br/>
        <w:t xml:space="preserve">в порядке приватизации вправе продлить срок подачи заявок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перенести принятие решения о победителе на другую дату, а также принять решение об отказе от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 xml:space="preserve">8. Место, даты и время</w:t>
      </w:r>
      <w:r>
        <w:rPr>
          <w:b/>
          <w:sz w:val="28"/>
          <w:szCs w:val="28"/>
        </w:rPr>
        <w:t xml:space="preserve"> начала и окончания подачи заявок и проведения </w:t>
      </w:r>
      <w:r>
        <w:rPr>
          <w:b/>
          <w:sz w:val="28"/>
          <w:szCs w:val="28"/>
        </w:rPr>
        <w:t xml:space="preserve">конк</w:t>
      </w:r>
      <w:r>
        <w:rPr>
          <w:b/>
          <w:sz w:val="28"/>
          <w:szCs w:val="28"/>
          <w:highlight w:val="white"/>
        </w:rPr>
        <w:t xml:space="preserve">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br/>
      </w:r>
      <w:r>
        <w:rPr>
          <w:b/>
          <w:sz w:val="28"/>
          <w:szCs w:val="28"/>
          <w:highlight w:val="white"/>
        </w:rPr>
        <w:t xml:space="preserve">19 сентября</w:t>
      </w:r>
      <w:r>
        <w:rPr>
          <w:b/>
          <w:sz w:val="28"/>
          <w:szCs w:val="28"/>
          <w:highlight w:val="white"/>
        </w:rPr>
        <w:t xml:space="preserve"> 202</w:t>
      </w:r>
      <w:r>
        <w:rPr>
          <w:b/>
          <w:sz w:val="28"/>
          <w:szCs w:val="28"/>
          <w:highlight w:val="white"/>
        </w:rPr>
        <w:t xml:space="preserve">6</w:t>
      </w:r>
      <w:r>
        <w:rPr>
          <w:b/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</w:t>
      </w:r>
      <w:r>
        <w:rPr>
          <w:b/>
          <w:sz w:val="28"/>
          <w:szCs w:val="28"/>
          <w:highlight w:val="white"/>
        </w:rPr>
        <w:t xml:space="preserve">0</w:t>
      </w:r>
      <w:r>
        <w:rPr>
          <w:b/>
          <w:sz w:val="28"/>
          <w:szCs w:val="28"/>
          <w:highlight w:val="white"/>
        </w:rPr>
        <w:t xml:space="preserve">0.00 час. </w:t>
      </w:r>
      <w:r>
        <w:rPr>
          <w:b/>
          <w:sz w:val="28"/>
          <w:szCs w:val="28"/>
          <w:highlight w:val="white"/>
        </w:rPr>
        <w:t xml:space="preserve">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br/>
      </w:r>
      <w:r>
        <w:rPr>
          <w:b/>
          <w:sz w:val="28"/>
          <w:szCs w:val="28"/>
          <w:highlight w:val="white"/>
        </w:rPr>
        <w:t xml:space="preserve">14 октября </w:t>
      </w:r>
      <w:r>
        <w:rPr>
          <w:b/>
          <w:sz w:val="28"/>
          <w:szCs w:val="28"/>
          <w:highlight w:val="white"/>
        </w:rPr>
        <w:t xml:space="preserve">2026 г., 00.00 час. (</w:t>
      </w:r>
      <w:r>
        <w:rPr>
          <w:b/>
          <w:sz w:val="28"/>
          <w:szCs w:val="28"/>
          <w:highlight w:val="white"/>
        </w:rPr>
        <w:t xml:space="preserve">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16 октября</w:t>
      </w:r>
      <w:r>
        <w:rPr>
          <w:b/>
          <w:sz w:val="28"/>
          <w:szCs w:val="28"/>
          <w:highlight w:val="white"/>
        </w:rPr>
        <w:t xml:space="preserve">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претендентов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всем претендентам, подавшим заявки, направляется уведомление о признании их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19 октября</w:t>
      </w:r>
      <w:r>
        <w:rPr>
          <w:b/>
          <w:sz w:val="28"/>
          <w:szCs w:val="28"/>
          <w:highlight w:val="white"/>
        </w:rPr>
        <w:t xml:space="preserve"> 2026 г., </w:t>
      </w:r>
      <w:r>
        <w:rPr>
          <w:b/>
          <w:sz w:val="28"/>
          <w:szCs w:val="28"/>
          <w:highlight w:val="white"/>
        </w:rPr>
        <w:t xml:space="preserve">07</w:t>
      </w:r>
      <w:r>
        <w:rPr>
          <w:b/>
          <w:sz w:val="28"/>
          <w:szCs w:val="28"/>
          <w:highlight w:val="white"/>
        </w:rPr>
        <w:t xml:space="preserve">.00 час. </w:t>
      </w:r>
      <w:r>
        <w:rPr>
          <w:b/>
          <w:sz w:val="28"/>
          <w:szCs w:val="28"/>
          <w:highlight w:val="white"/>
        </w:rPr>
        <w:t xml:space="preserve">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проведения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 и подведения итогов: </w:t>
      </w:r>
      <w:r>
        <w:rPr>
          <w:sz w:val="28"/>
          <w:szCs w:val="28"/>
          <w:highlight w:val="white"/>
        </w:rPr>
        <w:t xml:space="preserve">электронная площадка –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Условия конкурса при продаже объекта культурного наследия регионального значения «Здание окружного трахоматозного диспансера,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где в 1952-1959 гг. работал заслуженный врач РСФСР окулист В.А. Коркин»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1) Обязанность нового собственника по выполнению требований </w:t>
      </w:r>
      <w:r>
        <w:rPr>
          <w:sz w:val="28"/>
          <w:szCs w:val="28"/>
        </w:rPr>
        <w:br/>
        <w:t xml:space="preserve">к сохранению Объекта, к содержанию и использованию Объекта, </w:t>
      </w:r>
      <w:r>
        <w:rPr>
          <w:sz w:val="28"/>
          <w:szCs w:val="28"/>
        </w:rPr>
        <w:br/>
        <w:t xml:space="preserve">к обеспечению доступа к Объекту, к размещению наружной рекламы, </w:t>
      </w:r>
      <w:r>
        <w:rPr>
          <w:sz w:val="28"/>
          <w:szCs w:val="28"/>
        </w:rPr>
        <w:br/>
        <w:t xml:space="preserve">к установке надписей и обозначений, содержащих информацию об объекте культурного наследия, и иных требований, установленных в охранном обязательстве собственн</w:t>
      </w:r>
      <w:r>
        <w:rPr>
          <w:sz w:val="28"/>
          <w:szCs w:val="28"/>
        </w:rPr>
        <w:t xml:space="preserve">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«Здание окружного трахоматозного диспансера, где в 1952-</w:t>
      </w:r>
      <w:r>
        <w:rPr>
          <w:sz w:val="28"/>
          <w:szCs w:val="28"/>
        </w:rPr>
        <w:t xml:space="preserve">1959 гг. работал заслуженный врач РСФСР окулист В.А.Коркин» с регистрационным номером объекта культурного наследия в Реестре 591510204190005, утвержденного приказом Государственной инспекции по охране объектов культурного наследия Пермского края от 21 мая </w:t>
      </w:r>
      <w:r>
        <w:rPr>
          <w:sz w:val="28"/>
          <w:szCs w:val="28"/>
        </w:rPr>
        <w:br/>
        <w:t xml:space="preserve">2026 г. № Пр55-01-06-192 «Об утверждении охранного обязательства собственника или иного законного владельца объекта культурного наследия регионального значения «Здание окружного трахоматозного диспансера, где </w:t>
      </w:r>
      <w:r>
        <w:rPr>
          <w:sz w:val="28"/>
          <w:szCs w:val="28"/>
        </w:rPr>
        <w:br/>
        <w:t xml:space="preserve">в 1952-1959 гг. работал заслуженный врач РСФСР окулист В.А.Коркин».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Обязанность нового собственника по в</w:t>
      </w:r>
      <w:r>
        <w:rPr>
          <w:sz w:val="28"/>
          <w:szCs w:val="28"/>
        </w:rPr>
        <w:t xml:space="preserve">ыполнени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в отношении Объекта требований, предусмотренных статьями 47.2 – 47.4 </w:t>
      </w:r>
      <w:r>
        <w:rPr>
          <w:sz w:val="28"/>
          <w:szCs w:val="28"/>
        </w:rPr>
        <w:t xml:space="preserve">Федерального закона от 25 июня </w:t>
      </w:r>
      <w:r>
        <w:rPr>
          <w:sz w:val="28"/>
          <w:szCs w:val="28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</w:rPr>
        <w:br/>
        <w:t xml:space="preserve">и культуры) народов Российской Федерации»</w:t>
      </w:r>
      <w:r>
        <w:rPr>
          <w:sz w:val="28"/>
          <w:szCs w:val="28"/>
        </w:rPr>
        <w:t xml:space="preserve">, а также иных требований, установленных законодательством в отношении объектов культурного наследия.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Обязанность нового собственника по о</w:t>
      </w:r>
      <w:r>
        <w:rPr>
          <w:sz w:val="28"/>
          <w:szCs w:val="28"/>
        </w:rPr>
        <w:t xml:space="preserve">бращени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проведение работ по сохранению объекта культурного наследия в срок не позднее 30 дней с даты регистрации перехода права собственности на Объект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Обязанность нового собственника по о</w:t>
      </w:r>
      <w:r>
        <w:rPr>
          <w:sz w:val="28"/>
          <w:szCs w:val="28"/>
        </w:rPr>
        <w:t xml:space="preserve">беспечени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разработки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согласование проектной документации по сохранению приобретённого объекта культурного наследия в соответствии со ст. 45 Федерального закона от 25 июня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2002 г. № 73-ФЗ «Об объектах культурного наследия (памятниках истории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культуры) народов Российской Федерации» в срок не позднее 1 года с даты регистрации перехода права собственности на Объект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 xml:space="preserve">Обязанность нового собственника по п</w:t>
      </w:r>
      <w:r>
        <w:rPr>
          <w:sz w:val="28"/>
          <w:szCs w:val="28"/>
        </w:rPr>
        <w:t xml:space="preserve">роведени</w:t>
      </w:r>
      <w:r>
        <w:rPr>
          <w:sz w:val="28"/>
          <w:szCs w:val="28"/>
        </w:rPr>
        <w:t xml:space="preserve">ю </w:t>
      </w:r>
      <w:r>
        <w:rPr>
          <w:sz w:val="28"/>
          <w:szCs w:val="28"/>
        </w:rPr>
        <w:t xml:space="preserve">работ по сохранению Объекта в соответствии с охранным обязательством, проектной документацией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срок до 31 декабря 2029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6) Экономическое обоснование в силу прямого указания федерального законодательства: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 статья 29 Федерального закона от 21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2001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 статья 48 Федерального закона от 25</w:t>
      </w:r>
      <w:r>
        <w:rPr>
          <w:sz w:val="28"/>
          <w:szCs w:val="28"/>
        </w:rPr>
        <w:t xml:space="preserve"> июня </w:t>
      </w:r>
      <w:r>
        <w:rPr>
          <w:sz w:val="28"/>
          <w:szCs w:val="28"/>
        </w:rPr>
        <w:t xml:space="preserve">2002 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№ 73-ФЗ «Об объектах культурного наследия (памятниках истории и культуры) народов Российской Федерации».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Срок исполнения условий конкурса: до 31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2029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Порядок подтверждения победителем конкурса исполнения условий конкурса: устанавливается в договоре купли-продажи</w:t>
      </w:r>
      <w:r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br/>
        <w:t xml:space="preserve">к информационному сообщению)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и дополнений в условия конкурса и обязательства победителя после заключения договора купли-продажи не допускается, </w:t>
      </w:r>
      <w:r>
        <w:rPr>
          <w:sz w:val="28"/>
          <w:szCs w:val="28"/>
        </w:rPr>
        <w:br/>
        <w:t xml:space="preserve">за исключением случаев, предусмотренных статьей 451 Гражданского кодекса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Покупатель (новый собственник) не может отчуждать Объект третьим лицам до подписания акта приемки выполненных работ по сохранению объекта культурного наследия.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/>
      <w:bookmarkStart w:id="0" w:name="Par2"/>
      <w:r/>
      <w:bookmarkEnd w:id="0"/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В случае нарушения новым собственником Объекта существенных условий договора купли-продажи договор купли-продажи подлежит расторжению.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В случае расторжения договора купли-продажи Объекта в связи </w:t>
      </w:r>
      <w:r>
        <w:rPr>
          <w:sz w:val="28"/>
          <w:szCs w:val="28"/>
        </w:rPr>
        <w:br/>
        <w:t xml:space="preserve">с нарушением новым собственником обязанности выполнить в срок </w:t>
      </w:r>
      <w:r>
        <w:rPr>
          <w:sz w:val="28"/>
          <w:szCs w:val="28"/>
        </w:rPr>
        <w:br/>
        <w:t xml:space="preserve">и в полном объеме условия конкурса Объект подлежит возврату </w:t>
      </w:r>
      <w:r>
        <w:rPr>
          <w:sz w:val="28"/>
          <w:szCs w:val="28"/>
        </w:rPr>
        <w:br/>
        <w:t xml:space="preserve">в собственность Пермского края без возмещения собственнику стоимости Объекта, включая неотделимые улучшения, и без компенсации расходов, связанных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исполнением договора купли-продажи.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Приватизация Объекта осуществляется с одновременным предоставлением победителю конкурса земельного участка</w:t>
      </w:r>
      <w:r>
        <w:rPr>
          <w:sz w:val="28"/>
          <w:szCs w:val="28"/>
        </w:rPr>
        <w:t xml:space="preserve"> площадью 4231 кв.м. с кадастровым номером 81:07:0049003:98, категория земель: земли населенных пунктов, виды разрешенного использования: </w:t>
      </w:r>
      <w:r>
        <w:rPr>
          <w:sz w:val="28"/>
          <w:szCs w:val="28"/>
        </w:rPr>
        <w:t xml:space="preserve">для оздоровительной деятельности</w:t>
      </w:r>
      <w:r>
        <w:rPr>
          <w:sz w:val="28"/>
          <w:szCs w:val="28"/>
        </w:rPr>
        <w:t xml:space="preserve">, адрес: Российская Федерация, Пермский край, муниципальный округ Кудымкарский, город Кудымкар, улица Яковкина, з/у 4,</w:t>
      </w:r>
      <w:r>
        <w:rPr>
          <w:sz w:val="28"/>
          <w:szCs w:val="28"/>
        </w:rPr>
        <w:t xml:space="preserve"> занимаемого Объектом культурного наследия и необходимого для его использования, в аренду.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. Правила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 и определения победителя: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проводится в день и время, указанные в Информационном сообщении о проведении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путем последовательного повышения участниками начальной цены продажи на величину, равную либо кратную величине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</w:rPr>
        <w:br/>
        <w:t xml:space="preserve">в течение всего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 электронной площадки обеспечивает доступ участников к закрытой части электронной площадки </w:t>
      </w:r>
      <w:r>
        <w:rPr>
          <w:sz w:val="28"/>
          <w:szCs w:val="28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 времени начала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оператором электронной площадки размещается: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открытой части электронной площадки - информация о начале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с указанием наименования имущества, начальной цены </w:t>
      </w:r>
      <w:r>
        <w:rPr>
          <w:sz w:val="28"/>
          <w:szCs w:val="28"/>
        </w:rPr>
        <w:br/>
        <w:t xml:space="preserve">и текущего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</w:rPr>
        <w:br/>
        <w:t xml:space="preserve">и время их поступления, величина повышения начальной цены («шаг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»), время, оставшееся до окончания приема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начала проведения процедуры </w:t>
      </w:r>
      <w:r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участникам предлагается заявить о приобретении имущества по начальной цене. </w:t>
      </w:r>
      <w:r>
        <w:rPr>
          <w:sz w:val="28"/>
          <w:szCs w:val="28"/>
        </w:rPr>
        <w:br/>
        <w:t xml:space="preserve">В случае если в течение указанного времени: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</w:rPr>
        <w:br/>
        <w:t xml:space="preserve">для представления следующих предложений об увеличенной на 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 xml:space="preserve">В этом случае временем окончания представления предложений о цене имущества является время завершения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Ход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путем оформления протокола об итогах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цену имущества, фамилию, имя, отчество или наименование юридического лица </w:t>
      </w:r>
      <w:r>
        <w:rPr>
          <w:sz w:val="28"/>
          <w:szCs w:val="28"/>
        </w:rPr>
        <w:t xml:space="preserve">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Конкурс признается несостоявшимся в следующих случаях: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не подано ни одной заявки на участие либо ни один из претендентов не признан участником;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ни один из участников не сделал предложение о цене имущества;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</w:t>
      </w:r>
      <w:r>
        <w:rPr>
          <w:sz w:val="28"/>
          <w:szCs w:val="28"/>
        </w:rPr>
        <w:t xml:space="preserve">Решение о признании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несостоявшимся оформляется протоколом.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признании участника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победителем направляется победителю в день подведения итогов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подписания протокола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победителю направляется уведомление о признании его победителем с приложением данного протокола, а также размещается в открытой части электронной площадки следующая информация: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цена сделки;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фамилия, имя, отчество физического лица или наименование юридического лица – победителя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. Срок заключения договора купли-продажи краевого имущества: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</w:rPr>
        <w:br/>
        <w:t xml:space="preserve">на официальном сайте в сети "Интернет" протокола об итогах конкурса.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купли-продажи имущества заключается в форме электронного документа.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7"/>
        <w:ind w:left="0" w:firstLine="709"/>
        <w:jc w:val="both"/>
        <w:spacing w:after="0"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засчитывается в счет оплаты приобретаемого имущества (в сумму платежа по договору купли-продажи).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contextualSpacing w:val="0"/>
        <w:ind w:left="0" w:right="-2" w:firstLine="709"/>
        <w:jc w:val="both"/>
        <w:spacing w:line="28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</w:t>
      </w:r>
      <w:r>
        <w:rPr>
          <w:b/>
          <w:bCs/>
          <w:sz w:val="28"/>
          <w:szCs w:val="28"/>
        </w:rPr>
        <w:t xml:space="preserve">3</w:t>
      </w:r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 xml:space="preserve">с 09.00 час. до 17.00 час., в пятницу с 09.00 час. до 16.00 час., перерыв с 13.00 час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  <w:t xml:space="preserve">до 13.48 час. (время местное</w:t>
      </w:r>
      <w:r>
        <w:rPr>
          <w:sz w:val="28"/>
          <w:szCs w:val="28"/>
        </w:rPr>
        <w:t xml:space="preserve">);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 xml:space="preserve">nazubareva</w:t>
      </w:r>
      <w:r>
        <w:rPr>
          <w:bCs/>
          <w:sz w:val="28"/>
          <w:szCs w:val="28"/>
        </w:rPr>
        <w:t xml:space="preserve">@</w:t>
      </w:r>
      <w:r>
        <w:rPr>
          <w:bCs/>
          <w:sz w:val="28"/>
          <w:szCs w:val="28"/>
          <w:lang w:val="en-US"/>
        </w:rPr>
        <w:t xml:space="preserve">auprim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permkrai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 xml:space="preserve"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 xml:space="preserve">5 рабочих дней до окончания подачи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 xml:space="preserve">с указанием предмета запроса, но без указания лица, от которого поступил запрос.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продажа краевого имущества в порядке приватизации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 xml:space="preserve">в электронной форме</w:t>
      </w:r>
      <w:r>
        <w:rPr>
          <w:rFonts w:eastAsiaTheme="minorEastAsia"/>
          <w:sz w:val="28"/>
          <w:szCs w:val="28"/>
        </w:rPr>
        <w:t xml:space="preserve"> признана </w:t>
      </w:r>
      <w:r>
        <w:rPr>
          <w:rFonts w:eastAsia="Calibri"/>
          <w:sz w:val="28"/>
          <w:szCs w:val="28"/>
          <w:lang w:eastAsia="en-US"/>
        </w:rPr>
        <w:t xml:space="preserve">несостоявшейся: </w:t>
      </w:r>
      <w:r>
        <w:rPr>
          <w:sz w:val="28"/>
          <w:szCs w:val="28"/>
        </w:rPr>
        <w:t xml:space="preserve">не подано ни одной заявки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участие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(п. </w:t>
      </w:r>
      <w:r>
        <w:rPr>
          <w:rFonts w:eastAsiaTheme="minorHAnsi"/>
          <w:sz w:val="28"/>
          <w:szCs w:val="28"/>
          <w:lang w:eastAsia="en-US"/>
        </w:rPr>
        <w:t xml:space="preserve">82(1)</w:t>
      </w:r>
      <w:r>
        <w:rPr>
          <w:rFonts w:eastAsiaTheme="minorHAnsi"/>
          <w:sz w:val="28"/>
          <w:szCs w:val="28"/>
          <w:lang w:eastAsia="en-US"/>
        </w:rPr>
        <w:t xml:space="preserve"> постановления Правительства РФ от 27 августа 2012 г. № 860)</w:t>
      </w:r>
      <w:r>
        <w:rPr>
          <w:sz w:val="28"/>
          <w:szCs w:val="28"/>
        </w:rPr>
        <w:t xml:space="preserve"> (Протоколы об итогах продажи государственного имущества Пермского края </w:t>
      </w:r>
      <w:r>
        <w:rPr>
          <w:sz w:val="28"/>
          <w:szCs w:val="28"/>
        </w:rPr>
        <w:br/>
        <w:t xml:space="preserve">в порядке приватизации на конкурсе в электронной форме от 07 августа 2026 г., </w:t>
        <w:br/>
        <w:t xml:space="preserve">от 16 сентября</w:t>
      </w:r>
      <w:r>
        <w:rPr>
          <w:sz w:val="28"/>
          <w:szCs w:val="28"/>
          <w:highlight w:val="white"/>
        </w:rPr>
        <w:t xml:space="preserve"> 2026 г.</w:t>
      </w:r>
      <w:r>
        <w:rPr>
          <w:sz w:val="28"/>
          <w:szCs w:val="28"/>
          <w:highlight w:val="white"/>
        </w:rPr>
        <w:t xml:space="preserve">).</w:t>
      </w:r>
      <w:bookmarkStart w:id="1" w:name="_GoBack"/>
      <w:r>
        <w:rPr>
          <w:highlight w:val="white"/>
        </w:rPr>
      </w:r>
      <w:bookmarkEnd w:id="1"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8"/>
  </w:num>
  <w:num w:numId="8">
    <w:abstractNumId w:val="21"/>
  </w:num>
  <w:num w:numId="9">
    <w:abstractNumId w:val="17"/>
  </w:num>
  <w:num w:numId="10">
    <w:abstractNumId w:val="22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9"/>
  </w:num>
  <w:num w:numId="19">
    <w:abstractNumId w:val="16"/>
  </w:num>
  <w:num w:numId="20">
    <w:abstractNumId w:val="1"/>
  </w:num>
  <w:num w:numId="21">
    <w:abstractNumId w:val="13"/>
  </w:num>
  <w:num w:numId="22">
    <w:abstractNumId w:val="20"/>
  </w:num>
  <w:num w:numId="23">
    <w:abstractNumId w:val="1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4 Char"/>
    <w:basedOn w:val="722"/>
    <w:link w:val="71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722"/>
    <w:link w:val="71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7 Char"/>
    <w:basedOn w:val="722"/>
    <w:link w:val="71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8 Char"/>
    <w:basedOn w:val="722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9 Char"/>
    <w:basedOn w:val="722"/>
    <w:link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>
    <w:name w:val="Subtitle Char"/>
    <w:basedOn w:val="722"/>
    <w:link w:val="735"/>
    <w:uiPriority w:val="11"/>
    <w:rPr>
      <w:sz w:val="24"/>
      <w:szCs w:val="24"/>
    </w:rPr>
  </w:style>
  <w:style w:type="character" w:styleId="708">
    <w:name w:val="Quote Char"/>
    <w:link w:val="737"/>
    <w:uiPriority w:val="29"/>
    <w:rPr>
      <w:i/>
    </w:rPr>
  </w:style>
  <w:style w:type="character" w:styleId="709">
    <w:name w:val="Intense Quote Char"/>
    <w:link w:val="739"/>
    <w:uiPriority w:val="30"/>
    <w:rPr>
      <w:i/>
    </w:rPr>
  </w:style>
  <w:style w:type="character" w:styleId="710">
    <w:name w:val="Caption Char"/>
    <w:basedOn w:val="722"/>
    <w:link w:val="743"/>
    <w:uiPriority w:val="35"/>
    <w:rPr>
      <w:b/>
      <w:bCs/>
      <w:color w:val="4f81bd" w:themeColor="accent1"/>
      <w:sz w:val="18"/>
      <w:szCs w:val="18"/>
    </w:rPr>
  </w:style>
  <w:style w:type="character" w:styleId="711">
    <w:name w:val="Endnote Text Char"/>
    <w:link w:val="871"/>
    <w:uiPriority w:val="99"/>
    <w:rPr>
      <w:sz w:val="20"/>
    </w:rPr>
  </w:style>
  <w:style w:type="paragraph" w:styleId="71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3">
    <w:name w:val="Heading 1"/>
    <w:basedOn w:val="712"/>
    <w:next w:val="712"/>
    <w:link w:val="904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14">
    <w:name w:val="Heading 2"/>
    <w:basedOn w:val="712"/>
    <w:next w:val="712"/>
    <w:link w:val="905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15">
    <w:name w:val="Heading 3"/>
    <w:basedOn w:val="712"/>
    <w:next w:val="712"/>
    <w:link w:val="906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16">
    <w:name w:val="Heading 4"/>
    <w:basedOn w:val="712"/>
    <w:next w:val="712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8">
    <w:name w:val="Heading 6"/>
    <w:basedOn w:val="712"/>
    <w:next w:val="712"/>
    <w:link w:val="907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9">
    <w:name w:val="Heading 7"/>
    <w:basedOn w:val="712"/>
    <w:next w:val="712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Заголовок 4 Знак"/>
    <w:basedOn w:val="722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Заголовок 5 Знак"/>
    <w:basedOn w:val="722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Заголовок 7 Знак"/>
    <w:basedOn w:val="722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Заголовок 8 Знак"/>
    <w:basedOn w:val="722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Заголовок 9 Знак"/>
    <w:basedOn w:val="72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character" w:styleId="734" w:customStyle="1">
    <w:name w:val="Title Char"/>
    <w:basedOn w:val="722"/>
    <w:uiPriority w:val="10"/>
    <w:rPr>
      <w:sz w:val="48"/>
      <w:szCs w:val="48"/>
    </w:rPr>
  </w:style>
  <w:style w:type="paragraph" w:styleId="735">
    <w:name w:val="Subtitle"/>
    <w:basedOn w:val="712"/>
    <w:next w:val="712"/>
    <w:link w:val="736"/>
    <w:uiPriority w:val="11"/>
    <w:qFormat/>
    <w:pPr>
      <w:spacing w:before="200" w:after="200"/>
    </w:pPr>
  </w:style>
  <w:style w:type="character" w:styleId="736" w:customStyle="1">
    <w:name w:val="Подзаголовок Знак"/>
    <w:basedOn w:val="722"/>
    <w:link w:val="735"/>
    <w:uiPriority w:val="11"/>
    <w:rPr>
      <w:sz w:val="24"/>
      <w:szCs w:val="24"/>
    </w:rPr>
  </w:style>
  <w:style w:type="paragraph" w:styleId="737">
    <w:name w:val="Quote"/>
    <w:basedOn w:val="712"/>
    <w:next w:val="712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712"/>
    <w:next w:val="712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22"/>
    <w:uiPriority w:val="99"/>
  </w:style>
  <w:style w:type="character" w:styleId="742" w:customStyle="1">
    <w:name w:val="Footer Char"/>
    <w:basedOn w:val="722"/>
    <w:uiPriority w:val="99"/>
  </w:style>
  <w:style w:type="paragraph" w:styleId="743">
    <w:name w:val="Caption"/>
    <w:basedOn w:val="712"/>
    <w:next w:val="712"/>
    <w:link w:val="7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4" w:customStyle="1">
    <w:name w:val="Название объекта Знак"/>
    <w:basedOn w:val="722"/>
    <w:link w:val="743"/>
    <w:uiPriority w:val="35"/>
    <w:rPr>
      <w:b/>
      <w:bCs/>
      <w:color w:val="4f81bd" w:themeColor="accent1"/>
      <w:sz w:val="18"/>
      <w:szCs w:val="18"/>
    </w:rPr>
  </w:style>
  <w:style w:type="table" w:styleId="745" w:customStyle="1">
    <w:name w:val="Table Grid Light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 w:customStyle="1">
    <w:name w:val="Footnote Text Char"/>
    <w:uiPriority w:val="99"/>
    <w:rPr>
      <w:sz w:val="18"/>
    </w:rPr>
  </w:style>
  <w:style w:type="paragraph" w:styleId="871">
    <w:name w:val="endnote text"/>
    <w:basedOn w:val="712"/>
    <w:link w:val="872"/>
    <w:uiPriority w:val="99"/>
    <w:semiHidden/>
    <w:unhideWhenUsed/>
    <w:rPr>
      <w:sz w:val="20"/>
    </w:rPr>
  </w:style>
  <w:style w:type="character" w:styleId="872" w:customStyle="1">
    <w:name w:val="Текст концевой сноски Знак"/>
    <w:link w:val="871"/>
    <w:uiPriority w:val="99"/>
    <w:rPr>
      <w:sz w:val="20"/>
    </w:rPr>
  </w:style>
  <w:style w:type="character" w:styleId="873">
    <w:name w:val="endnote reference"/>
    <w:basedOn w:val="722"/>
    <w:uiPriority w:val="99"/>
    <w:semiHidden/>
    <w:unhideWhenUsed/>
    <w:rPr>
      <w:vertAlign w:val="superscript"/>
    </w:rPr>
  </w:style>
  <w:style w:type="paragraph" w:styleId="874">
    <w:name w:val="toc 1"/>
    <w:basedOn w:val="712"/>
    <w:next w:val="712"/>
    <w:uiPriority w:val="39"/>
    <w:unhideWhenUsed/>
    <w:pPr>
      <w:spacing w:after="57"/>
    </w:pPr>
  </w:style>
  <w:style w:type="paragraph" w:styleId="875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76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77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78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79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80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81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882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712"/>
    <w:next w:val="712"/>
    <w:uiPriority w:val="99"/>
    <w:unhideWhenUsed/>
  </w:style>
  <w:style w:type="paragraph" w:styleId="885">
    <w:name w:val="List Paragraph"/>
    <w:basedOn w:val="712"/>
    <w:uiPriority w:val="34"/>
    <w:qFormat/>
    <w:pPr>
      <w:contextualSpacing/>
      <w:ind w:left="720"/>
    </w:pPr>
  </w:style>
  <w:style w:type="paragraph" w:styleId="886" w:customStyle="1">
    <w:name w:val="Стиль ис"/>
    <w:basedOn w:val="712"/>
    <w:link w:val="888"/>
    <w:qFormat/>
    <w:pPr>
      <w:ind w:firstLine="567"/>
      <w:jc w:val="both"/>
      <w:tabs>
        <w:tab w:val="left" w:pos="851" w:leader="none"/>
      </w:tabs>
    </w:pPr>
  </w:style>
  <w:style w:type="paragraph" w:styleId="887" w:customStyle="1">
    <w:name w:val="Стиль ИСС"/>
    <w:basedOn w:val="712"/>
    <w:link w:val="889"/>
    <w:qFormat/>
    <w:pPr>
      <w:ind w:firstLine="567"/>
      <w:jc w:val="both"/>
      <w:tabs>
        <w:tab w:val="left" w:pos="851" w:leader="none"/>
      </w:tabs>
    </w:pPr>
  </w:style>
  <w:style w:type="character" w:styleId="888" w:customStyle="1">
    <w:name w:val="Стиль ис Знак"/>
    <w:link w:val="8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9" w:customStyle="1">
    <w:name w:val="Стиль ИСС Знак"/>
    <w:link w:val="88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0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paragraph" w:styleId="892">
    <w:name w:val="Balloon Text"/>
    <w:basedOn w:val="712"/>
    <w:link w:val="893"/>
    <w:unhideWhenUsed/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basedOn w:val="722"/>
    <w:link w:val="892"/>
    <w:rPr>
      <w:rFonts w:ascii="Tahoma" w:hAnsi="Tahoma" w:eastAsia="Times New Roman" w:cs="Tahoma"/>
      <w:sz w:val="16"/>
      <w:szCs w:val="16"/>
      <w:lang w:eastAsia="ru-RU"/>
    </w:rPr>
  </w:style>
  <w:style w:type="paragraph" w:styleId="894" w:customStyle="1">
    <w:name w:val="Исполнитель"/>
    <w:basedOn w:val="895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5">
    <w:name w:val="Body Text"/>
    <w:basedOn w:val="712"/>
    <w:link w:val="896"/>
    <w:unhideWhenUsed/>
    <w:pPr>
      <w:spacing w:after="120"/>
    </w:pPr>
  </w:style>
  <w:style w:type="character" w:styleId="896" w:customStyle="1">
    <w:name w:val="Основной текст Знак"/>
    <w:basedOn w:val="722"/>
    <w:link w:val="89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7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8">
    <w:name w:val="footnote text"/>
    <w:basedOn w:val="712"/>
    <w:link w:val="899"/>
    <w:semiHidden/>
    <w:unhideWhenUsed/>
    <w:rPr>
      <w:sz w:val="20"/>
      <w:szCs w:val="20"/>
    </w:rPr>
  </w:style>
  <w:style w:type="character" w:styleId="899" w:customStyle="1">
    <w:name w:val="Текст сноски Знак"/>
    <w:basedOn w:val="722"/>
    <w:link w:val="898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0">
    <w:name w:val="footnote reference"/>
    <w:basedOn w:val="722"/>
    <w:uiPriority w:val="99"/>
    <w:semiHidden/>
    <w:unhideWhenUsed/>
    <w:rPr>
      <w:vertAlign w:val="superscript"/>
    </w:rPr>
  </w:style>
  <w:style w:type="paragraph" w:styleId="901" w:customStyle="1">
    <w:name w:val="ConsPlusNormal"/>
    <w:qFormat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2" w:customStyle="1">
    <w:name w:val="СтильИС"/>
    <w:basedOn w:val="712"/>
    <w:link w:val="903"/>
    <w:qFormat/>
    <w:pPr>
      <w:ind w:right="21"/>
      <w:jc w:val="center"/>
    </w:pPr>
    <w:rPr>
      <w:sz w:val="22"/>
      <w:szCs w:val="22"/>
    </w:rPr>
  </w:style>
  <w:style w:type="character" w:styleId="903" w:customStyle="1">
    <w:name w:val="СтильИС Знак"/>
    <w:link w:val="902"/>
    <w:rPr>
      <w:rFonts w:ascii="Times New Roman" w:hAnsi="Times New Roman" w:eastAsia="Times New Roman" w:cs="Times New Roman"/>
      <w:lang w:eastAsia="ru-RU"/>
    </w:rPr>
  </w:style>
  <w:style w:type="character" w:styleId="904" w:customStyle="1">
    <w:name w:val="Заголовок 1 Знак"/>
    <w:basedOn w:val="722"/>
    <w:link w:val="713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5" w:customStyle="1">
    <w:name w:val="Заголовок 2 Знак"/>
    <w:basedOn w:val="722"/>
    <w:link w:val="714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6" w:customStyle="1">
    <w:name w:val="Заголовок 3 Знак"/>
    <w:basedOn w:val="722"/>
    <w:link w:val="715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7" w:customStyle="1">
    <w:name w:val="Заголовок 6 Знак"/>
    <w:basedOn w:val="722"/>
    <w:link w:val="718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8" w:customStyle="1">
    <w:name w:val="defaultlabelstyle3"/>
    <w:rPr>
      <w:rFonts w:hint="default" w:ascii="Trebuchet MS" w:hAnsi="Trebuchet MS"/>
      <w:color w:val="333333"/>
    </w:rPr>
  </w:style>
  <w:style w:type="paragraph" w:styleId="909" w:customStyle="1">
    <w:name w:val="Стиль ИС"/>
    <w:basedOn w:val="712"/>
    <w:link w:val="910"/>
    <w:qFormat/>
    <w:pPr>
      <w:ind w:right="21"/>
      <w:jc w:val="both"/>
    </w:pPr>
    <w:rPr>
      <w:sz w:val="22"/>
      <w:szCs w:val="22"/>
    </w:rPr>
  </w:style>
  <w:style w:type="character" w:styleId="910" w:customStyle="1">
    <w:name w:val="Стиль ИС Знак"/>
    <w:link w:val="909"/>
    <w:rPr>
      <w:rFonts w:ascii="Times New Roman" w:hAnsi="Times New Roman" w:eastAsia="Times New Roman" w:cs="Times New Roman"/>
      <w:lang w:eastAsia="ru-RU"/>
    </w:rPr>
  </w:style>
  <w:style w:type="paragraph" w:styleId="911" w:customStyle="1">
    <w:name w:val="ис"/>
    <w:basedOn w:val="712"/>
    <w:link w:val="912"/>
    <w:qFormat/>
    <w:pPr>
      <w:ind w:left="142" w:right="-2"/>
      <w:jc w:val="center"/>
    </w:pPr>
    <w:rPr>
      <w:b/>
    </w:rPr>
  </w:style>
  <w:style w:type="character" w:styleId="912" w:customStyle="1">
    <w:name w:val="ис Знак"/>
    <w:link w:val="911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3">
    <w:name w:val="List Bullet"/>
    <w:basedOn w:val="712"/>
    <w:unhideWhenUsed/>
    <w:pPr>
      <w:jc w:val="both"/>
    </w:pPr>
    <w:rPr>
      <w:bCs/>
      <w:sz w:val="28"/>
      <w:szCs w:val="28"/>
    </w:rPr>
  </w:style>
  <w:style w:type="numbering" w:styleId="914" w:customStyle="1">
    <w:name w:val="Нет списка1"/>
    <w:next w:val="724"/>
    <w:semiHidden/>
  </w:style>
  <w:style w:type="paragraph" w:styleId="915" w:customStyle="1">
    <w:name w:val="Заголовок к тексту"/>
    <w:basedOn w:val="712"/>
    <w:next w:val="895"/>
    <w:pPr>
      <w:spacing w:after="480" w:line="240" w:lineRule="exact"/>
    </w:pPr>
    <w:rPr>
      <w:b/>
      <w:sz w:val="28"/>
      <w:szCs w:val="20"/>
    </w:rPr>
  </w:style>
  <w:style w:type="paragraph" w:styleId="916" w:customStyle="1">
    <w:name w:val="регистрационные поля"/>
    <w:basedOn w:val="712"/>
    <w:pPr>
      <w:jc w:val="center"/>
      <w:spacing w:line="240" w:lineRule="exact"/>
    </w:pPr>
    <w:rPr>
      <w:sz w:val="28"/>
      <w:szCs w:val="20"/>
      <w:lang w:val="en-US"/>
    </w:rPr>
  </w:style>
  <w:style w:type="paragraph" w:styleId="917">
    <w:name w:val="Footer"/>
    <w:basedOn w:val="712"/>
    <w:link w:val="918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18" w:customStyle="1">
    <w:name w:val="Нижний колонтитул Знак"/>
    <w:basedOn w:val="722"/>
    <w:link w:val="917"/>
    <w:rPr>
      <w:rFonts w:ascii="Times New Roman" w:hAnsi="Times New Roman" w:eastAsia="Times New Roman" w:cs="Times New Roman"/>
      <w:sz w:val="28"/>
      <w:szCs w:val="20"/>
    </w:rPr>
  </w:style>
  <w:style w:type="paragraph" w:styleId="919" w:customStyle="1">
    <w:name w:val="Подпись на  бланке должностного лица"/>
    <w:basedOn w:val="712"/>
    <w:next w:val="895"/>
    <w:pPr>
      <w:ind w:left="7088"/>
      <w:spacing w:before="480" w:line="240" w:lineRule="exact"/>
    </w:pPr>
    <w:rPr>
      <w:sz w:val="28"/>
      <w:szCs w:val="20"/>
    </w:rPr>
  </w:style>
  <w:style w:type="paragraph" w:styleId="920">
    <w:name w:val="Signature"/>
    <w:basedOn w:val="712"/>
    <w:next w:val="895"/>
    <w:link w:val="921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21" w:customStyle="1">
    <w:name w:val="Подпись Знак"/>
    <w:basedOn w:val="722"/>
    <w:link w:val="920"/>
    <w:rPr>
      <w:rFonts w:ascii="Times New Roman" w:hAnsi="Times New Roman" w:eastAsia="Times New Roman" w:cs="Times New Roman"/>
      <w:sz w:val="28"/>
      <w:szCs w:val="20"/>
    </w:rPr>
  </w:style>
  <w:style w:type="paragraph" w:styleId="922" w:customStyle="1">
    <w:name w:val="Приложение"/>
    <w:basedOn w:val="895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3">
    <w:name w:val="Block Text"/>
    <w:basedOn w:val="712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4" w:customStyle="1">
    <w:name w:val="Нет списка2"/>
    <w:next w:val="724"/>
    <w:semiHidden/>
  </w:style>
  <w:style w:type="paragraph" w:styleId="925">
    <w:name w:val="Header"/>
    <w:basedOn w:val="712"/>
    <w:link w:val="926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6" w:customStyle="1">
    <w:name w:val="Верхний колонтитул Знак"/>
    <w:basedOn w:val="722"/>
    <w:link w:val="925"/>
    <w:uiPriority w:val="99"/>
    <w:rPr>
      <w:rFonts w:ascii="Calibri" w:hAnsi="Calibri" w:eastAsia="Calibri" w:cs="Times New Roman"/>
    </w:rPr>
  </w:style>
  <w:style w:type="character" w:styleId="927">
    <w:name w:val="annotation reference"/>
    <w:uiPriority w:val="99"/>
    <w:semiHidden/>
    <w:unhideWhenUsed/>
    <w:rPr>
      <w:sz w:val="16"/>
      <w:szCs w:val="16"/>
    </w:rPr>
  </w:style>
  <w:style w:type="paragraph" w:styleId="928">
    <w:name w:val="annotation text"/>
    <w:basedOn w:val="712"/>
    <w:link w:val="929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29" w:customStyle="1">
    <w:name w:val="Текст примечания Знак"/>
    <w:basedOn w:val="722"/>
    <w:link w:val="928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30">
    <w:name w:val="annotation subject"/>
    <w:basedOn w:val="928"/>
    <w:next w:val="928"/>
    <w:link w:val="931"/>
    <w:uiPriority w:val="99"/>
    <w:semiHidden/>
    <w:unhideWhenUsed/>
    <w:rPr>
      <w:b/>
      <w:bCs/>
    </w:rPr>
  </w:style>
  <w:style w:type="character" w:styleId="931" w:customStyle="1">
    <w:name w:val="Тема примечания Знак"/>
    <w:basedOn w:val="929"/>
    <w:link w:val="930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2">
    <w:name w:val="Table Grid"/>
    <w:basedOn w:val="723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3" w:customStyle="1">
    <w:name w:val="Нет списка3"/>
    <w:next w:val="724"/>
    <w:uiPriority w:val="99"/>
    <w:semiHidden/>
    <w:unhideWhenUsed/>
  </w:style>
  <w:style w:type="numbering" w:styleId="934" w:customStyle="1">
    <w:name w:val="Нет списка11"/>
    <w:next w:val="724"/>
    <w:semiHidden/>
  </w:style>
  <w:style w:type="paragraph" w:styleId="935">
    <w:name w:val="Title"/>
    <w:basedOn w:val="712"/>
    <w:next w:val="712"/>
    <w:link w:val="936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6" w:customStyle="1">
    <w:name w:val="Название Знак"/>
    <w:basedOn w:val="722"/>
    <w:link w:val="935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7">
    <w:name w:val="Body Text Indent"/>
    <w:basedOn w:val="712"/>
    <w:link w:val="938"/>
    <w:uiPriority w:val="99"/>
    <w:unhideWhenUsed/>
    <w:pPr>
      <w:ind w:left="283"/>
      <w:spacing w:after="120"/>
    </w:pPr>
  </w:style>
  <w:style w:type="character" w:styleId="938" w:customStyle="1">
    <w:name w:val="Основной текст с отступом Знак"/>
    <w:basedOn w:val="722"/>
    <w:link w:val="93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>
    <w:name w:val="Body Text Indent 2"/>
    <w:basedOn w:val="712"/>
    <w:link w:val="940"/>
    <w:uiPriority w:val="99"/>
    <w:semiHidden/>
    <w:unhideWhenUsed/>
    <w:pPr>
      <w:ind w:left="283"/>
      <w:spacing w:after="120" w:line="480" w:lineRule="auto"/>
    </w:pPr>
  </w:style>
  <w:style w:type="character" w:styleId="940" w:customStyle="1">
    <w:name w:val="Основной текст с отступом 2 Знак"/>
    <w:basedOn w:val="722"/>
    <w:link w:val="93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2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E1FFB-C337-4A7F-A92B-70F98404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8</cp:revision>
  <dcterms:created xsi:type="dcterms:W3CDTF">2026-08-18T10:38:00Z</dcterms:created>
  <dcterms:modified xsi:type="dcterms:W3CDTF">2026-09-18T11:18:21Z</dcterms:modified>
</cp:coreProperties>
</file>