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keepNext/>
        <w:spacing w:line="260" w:lineRule="exact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ИНФОРМАЦИОННОЕ СООБЩЕНИЕ</w:t>
      </w:r>
    </w:p>
    <w:p>
      <w:pPr>
        <w:pStyle w:val="af9"/>
        <w:spacing w:line="260" w:lineRule="exact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о продаже государственного имущества </w:t>
      </w:r>
      <w:r>
        <w:rPr>
          <w:sz w:val="28"/>
          <w:szCs w:val="28"/>
        </w:rPr>
        <w:t xml:space="preserve">Пермского края в порядке </w:t>
      </w:r>
      <w:r>
        <w:rPr>
          <w:sz w:val="28"/>
          <w:szCs w:val="28"/>
        </w:rPr>
        <w:br/>
        <w:t xml:space="preserve">приватизации на </w:t>
      </w:r>
      <w:r>
        <w:rPr>
          <w:sz w:val="28"/>
          <w:szCs w:val="28"/>
        </w:rPr>
        <w:t xml:space="preserve">конкурсе</w:t>
      </w:r>
      <w:r>
        <w:rPr>
          <w:rFonts w:eastAsiaTheme="minorEastAsia"/>
          <w:sz w:val="28"/>
          <w:szCs w:val="28"/>
        </w:rPr>
        <w:t xml:space="preserve"> в электронной форме</w:t>
      </w:r>
    </w:p>
    <w:p>
      <w:pPr>
        <w:pStyle w:val="af9"/>
        <w:spacing w:line="280" w:lineRule="exact"/>
        <w:ind w:firstLine="709"/>
        <w:jc w:val="center"/>
        <w:rPr>
          <w:rFonts w:eastAsiaTheme="minorEastAsia"/>
          <w:sz w:val="28"/>
          <w:szCs w:val="28"/>
        </w:rPr>
      </w:pPr>
    </w:p>
    <w:p>
      <w:pPr>
        <w:pStyle w:val="af9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Министерство по управлению имуществом и градостроительной деятельности Пермского края (далее – Продавец) сообщает о продаже </w:t>
      </w:r>
      <w:r>
        <w:rPr>
          <w:rFonts w:eastAsiaTheme="minorEastAsia"/>
          <w:sz w:val="28"/>
          <w:szCs w:val="28"/>
        </w:rPr>
        <w:t xml:space="preserve">краевого имущества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порядке приватизации на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  <w:t xml:space="preserve"> в электронной форме.</w:t>
      </w:r>
    </w:p>
    <w:p>
      <w:pPr>
        <w:pStyle w:val="af9"/>
        <w:spacing w:line="28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 Наименование государственного органа, принявшего решение </w:t>
      </w:r>
      <w:r>
        <w:rPr>
          <w:b/>
          <w:sz w:val="28"/>
          <w:szCs w:val="28"/>
        </w:rPr>
        <w:br/>
        <w:t xml:space="preserve">об условиях приватизации краевого имущества, реквизиты указанного решения:</w:t>
      </w:r>
      <w:r>
        <w:rPr>
          <w:sz w:val="28"/>
          <w:szCs w:val="28"/>
        </w:rPr>
        <w:t xml:space="preserve"> Министерство по управлению имуществом и градостроительной деятельности Пермского края; приказ Министерства по управлению имуществом</w:t>
      </w:r>
      <w:r>
        <w:rPr>
          <w:sz w:val="28"/>
          <w:szCs w:val="28"/>
        </w:rPr>
        <w:br/>
        <w:t xml:space="preserve">и градостроительной деятельности Пермского края от </w:t>
      </w:r>
      <w:r>
        <w:rPr>
          <w:sz w:val="28"/>
          <w:szCs w:val="28"/>
        </w:rPr>
        <w:t xml:space="preserve">14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августа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г.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31-02-1-4-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913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Об условиях приватизации имущества Пермского края, являющегося объектом культурного наследия, включенным в единый государственный реестр объектов культурного наследия (памятников истории </w:t>
      </w:r>
      <w:r>
        <w:rPr>
          <w:sz w:val="28"/>
          <w:szCs w:val="28"/>
        </w:rPr>
        <w:br/>
        <w:t xml:space="preserve">и культуры) народов Российской Федерации, на конкурсе в электронной форме</w:t>
      </w:r>
      <w:r>
        <w:rPr>
          <w:sz w:val="28"/>
          <w:szCs w:val="28"/>
        </w:rPr>
        <w:t xml:space="preserve">».</w:t>
      </w:r>
    </w:p>
    <w:p>
      <w:pPr>
        <w:pStyle w:val="af9"/>
        <w:spacing w:line="28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Наименование, место нахождения, почтовый адрес, адрес электронной почты, номер контактного телефона Продавца: </w:t>
      </w:r>
      <w:r>
        <w:rPr>
          <w:sz w:val="28"/>
          <w:szCs w:val="28"/>
        </w:rPr>
        <w:t xml:space="preserve">Министерство по управлению имуществом и градостроительной деятельности Пермского края; 614000, Пермский край, г. Пермь, ул. Сибирская, д. 30а, корпус А; электронная почта: </w:t>
      </w:r>
      <w:r>
        <w:rPr>
          <w:sz w:val="28"/>
          <w:szCs w:val="28"/>
          <w:lang w:val="en-US"/>
        </w:rPr>
        <w:t xml:space="preserve">nazubareva</w:t>
      </w:r>
      <w:r>
        <w:rPr>
          <w:sz w:val="28"/>
          <w:szCs w:val="28"/>
        </w:rPr>
        <w:t xml:space="preserve">@</w:t>
      </w:r>
      <w:r>
        <w:rPr>
          <w:sz w:val="28"/>
          <w:szCs w:val="28"/>
          <w:lang w:val="en-US"/>
        </w:rPr>
        <w:t xml:space="preserve">auprim</w:t>
      </w:r>
      <w:r>
        <w:rPr>
          <w:sz w:val="28"/>
          <w:szCs w:val="28"/>
        </w:rPr>
        <w:t xml:space="preserve">.permkra</w:t>
      </w:r>
      <w:r>
        <w:rPr>
          <w:sz w:val="28"/>
          <w:szCs w:val="28"/>
          <w:lang w:val="en-US"/>
        </w:rPr>
        <w:t xml:space="preserve">i</w:t>
      </w:r>
      <w:r>
        <w:rPr>
          <w:sz w:val="28"/>
          <w:szCs w:val="28"/>
        </w:rPr>
        <w:t xml:space="preserve">.ru; номер контактного тел.: (342) 2110467 (доб. 1168); факс: (342) 211 04 02.</w:t>
      </w:r>
    </w:p>
    <w:p>
      <w:pPr>
        <w:pStyle w:val="af9"/>
        <w:spacing w:line="28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Наименование краевого имущества и иные позволяющие </w:t>
      </w:r>
      <w:r>
        <w:rPr>
          <w:b/>
          <w:sz w:val="28"/>
          <w:szCs w:val="28"/>
        </w:rPr>
        <w:br/>
        <w:t xml:space="preserve">его индивидуализировать сведения (спецификация лота): </w:t>
      </w:r>
    </w:p>
    <w:p>
      <w:pPr>
        <w:pStyle w:val="af9"/>
        <w:spacing w:line="28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Лот №1.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Здание, офтальмологическое отделение, кадастровый номер 81:07:0049003:37, назначение: нежилое, площадь: 1195,7 кв. м, по адресу: Российская Федерация, край Пермский, муниципальный округ Кудымкарский, город Кудымкар, улица Яковкина, дом 4</w:t>
      </w:r>
      <w:r>
        <w:rPr>
          <w:sz w:val="28"/>
          <w:szCs w:val="28"/>
        </w:rPr>
        <w:t xml:space="preserve"> (далее – Объект)</w:t>
      </w:r>
      <w:r>
        <w:rPr>
          <w:sz w:val="28"/>
          <w:szCs w:val="28"/>
        </w:rPr>
        <w:t xml:space="preserve">, являющееся объектом культурного наследия регионального значения «Здание окружного трахоматозного диспансера,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где в 1952-1959 гг. работал заслуженный врач РСФСР окулист В.А.Коркин»,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соответствии с распоряжением губернатора Пермской области от 5 декабря 2000 г. № 713-р «О государственном учете недвижимых памятников истории и культуры Пермского края регионального значения», признанное находящимся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неудовлетворительном состоянии на основании приказа Государственной инспекции по охране объектов культурного наследия Пермского края от 25 декабря 2025 г. № Пр55-01-06-384 «Об отнесении объекта культурного наследия регионального значения «Здание окружного трахоматозного диспансера, где в 1952-1959 гг. работал заслуженный врач РСФСР окулист В.А. Коркин» к объектам культурного наследия, находящимся в неудовлетворительном состоянии»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охранное обязательство собственника или иного законного владельца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«Здание окружного трахом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тозного диспансера, где в 1952-1959 гг. работал заслуженный врач РСФСР окулист В.А. Коркин», утвержденн</w:t>
      </w:r>
      <w:r>
        <w:rPr>
          <w:sz w:val="28"/>
          <w:szCs w:val="28"/>
        </w:rPr>
        <w:t xml:space="preserve">ое</w:t>
      </w:r>
      <w:r>
        <w:rPr>
          <w:sz w:val="28"/>
          <w:szCs w:val="28"/>
        </w:rPr>
        <w:t xml:space="preserve"> приказом Государственной инспекции по охране объектов культурного наследия Пермского края от 21 мая 2026 г.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№ Пр55-01-06-192 «Об утверждении охранного обязательства собственника или иного законного владельца объекта культурного наследия регионального значения «Здание окружного трахоматозного диспансера, где в 1952-1959 гг. работал заслуженный врач РСФСР окулист В.А.Коркин»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.</w:t>
      </w:r>
    </w:p>
    <w:p>
      <w:pPr>
        <w:pStyle w:val="af9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Приватизация Объекта осуществляется с одновременным предоставлением победителю конкурса земельного участка площадью 4231 кв.м. с кадастровым </w:t>
      </w:r>
      <w:r>
        <w:rPr>
          <w:sz w:val="28"/>
          <w:szCs w:val="28"/>
        </w:rPr>
        <w:t xml:space="preserve">номером 81:07:0049003:98, категория земель: земли населенных пунктов, виды разрешенного использования: </w:t>
      </w:r>
      <w:r>
        <w:rPr>
          <w:sz w:val="28"/>
          <w:szCs w:val="28"/>
        </w:rPr>
        <w:t xml:space="preserve">для оздоровительной деятельности</w:t>
      </w:r>
      <w:r>
        <w:rPr>
          <w:sz w:val="28"/>
          <w:szCs w:val="28"/>
        </w:rPr>
        <w:t xml:space="preserve">, адрес: Российская Федерация, Пермский край, муниципальный округ Кудымкарский, город Кудымкар, улица Яковкина, з/у 4, занимаемого Объектом и необходимого для его использования,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аренду</w:t>
      </w:r>
      <w:r>
        <w:rPr>
          <w:sz w:val="28"/>
          <w:szCs w:val="28"/>
        </w:rPr>
        <w:t xml:space="preserve">.</w:t>
      </w:r>
    </w:p>
    <w:p>
      <w:pPr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Начальная цена продажи краевого имущества: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Один</w:t>
      </w:r>
      <w:r>
        <w:rPr>
          <w:sz w:val="28"/>
          <w:szCs w:val="28"/>
        </w:rPr>
        <w:t xml:space="preserve">) рубл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 00 копеек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с учетом НДС.</w:t>
      </w:r>
    </w:p>
    <w:p>
      <w:pPr>
        <w:pStyle w:val="af9"/>
        <w:spacing w:line="28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Величина повышения начальной цены («шаг </w:t>
      </w:r>
      <w:r>
        <w:rPr>
          <w:b/>
          <w:sz w:val="28"/>
          <w:szCs w:val="28"/>
        </w:rPr>
        <w:t xml:space="preserve">конкурса</w:t>
      </w:r>
      <w:r>
        <w:rPr>
          <w:b/>
          <w:sz w:val="28"/>
          <w:szCs w:val="28"/>
        </w:rPr>
        <w:t xml:space="preserve">»): </w:t>
      </w:r>
      <w:r>
        <w:rPr>
          <w:sz w:val="28"/>
          <w:szCs w:val="28"/>
        </w:rPr>
        <w:t xml:space="preserve">599 033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Пятьсот девяносто девять тысяч тридцать три</w:t>
      </w:r>
      <w:r>
        <w:rPr>
          <w:sz w:val="28"/>
          <w:szCs w:val="28"/>
        </w:rPr>
        <w:t xml:space="preserve">) рубл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74</w:t>
      </w:r>
      <w:r>
        <w:rPr>
          <w:sz w:val="28"/>
          <w:szCs w:val="28"/>
        </w:rPr>
        <w:t xml:space="preserve"> копе</w:t>
      </w:r>
      <w:r>
        <w:rPr>
          <w:sz w:val="28"/>
          <w:szCs w:val="28"/>
        </w:rPr>
        <w:t xml:space="preserve">йки</w:t>
      </w:r>
      <w:r>
        <w:rPr>
          <w:sz w:val="28"/>
          <w:szCs w:val="28"/>
        </w:rPr>
        <w:t xml:space="preserve"> с учетом НДС, что составляет 5% от </w:t>
      </w:r>
      <w:r>
        <w:rPr>
          <w:sz w:val="28"/>
          <w:szCs w:val="28"/>
        </w:rPr>
        <w:t xml:space="preserve">кадастровой стоимости</w:t>
      </w:r>
      <w:r>
        <w:rPr>
          <w:sz w:val="28"/>
          <w:szCs w:val="28"/>
        </w:rPr>
        <w:t xml:space="preserve">.</w:t>
      </w:r>
    </w:p>
    <w:p>
      <w:pPr>
        <w:pStyle w:val="af9"/>
        <w:spacing w:line="28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Размер задатка: </w:t>
      </w:r>
      <w:r>
        <w:rPr>
          <w:sz w:val="28"/>
          <w:szCs w:val="28"/>
        </w:rPr>
        <w:t xml:space="preserve">2 396 134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Два миллиона триста девяносто шесть тысяч сто тридцать четыре</w:t>
      </w:r>
      <w:r>
        <w:rPr>
          <w:sz w:val="28"/>
          <w:szCs w:val="28"/>
        </w:rPr>
        <w:t xml:space="preserve">) рубл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97</w:t>
      </w:r>
      <w:r>
        <w:rPr>
          <w:sz w:val="28"/>
          <w:szCs w:val="28"/>
        </w:rPr>
        <w:t xml:space="preserve"> копеек, что составляет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0%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кадастровой стоимости</w:t>
      </w:r>
      <w:r>
        <w:rPr>
          <w:sz w:val="28"/>
          <w:szCs w:val="28"/>
        </w:rPr>
        <w:t xml:space="preserve">.</w:t>
      </w:r>
    </w:p>
    <w:p>
      <w:pPr>
        <w:spacing w:line="280" w:lineRule="exact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  <w:shd w:val="clear" w:color="auto" w:fill="ffffff"/>
        </w:rPr>
        <w:t xml:space="preserve">Внесенный победителем продажи задаток засчитывается в счет оплаты приобретаемого имущества.</w:t>
      </w:r>
      <w:r>
        <w:rPr>
          <w:iCs/>
          <w:sz w:val="28"/>
          <w:szCs w:val="28"/>
        </w:rPr>
        <w:t xml:space="preserve"> Победителю конкурса возвращается часть задатка в сумме, превышающей цену приобретения данного имущества.</w:t>
      </w:r>
    </w:p>
    <w:p>
      <w:pPr>
        <w:pStyle w:val="af9"/>
        <w:spacing w:line="28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Способ приватизации краевого имущества: </w:t>
      </w:r>
      <w:r>
        <w:rPr>
          <w:sz w:val="28"/>
          <w:szCs w:val="28"/>
        </w:rPr>
        <w:t xml:space="preserve">продажа краевого имущества на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в электронной форме </w:t>
      </w:r>
      <w:r>
        <w:rPr>
          <w:sz w:val="28"/>
          <w:szCs w:val="28"/>
        </w:rPr>
        <w:t xml:space="preserve">на электронной площадке </w:t>
      </w:r>
      <w:r>
        <w:rPr>
          <w:sz w:val="28"/>
          <w:szCs w:val="28"/>
        </w:rPr>
        <w:br/>
        <w:t xml:space="preserve">АО «Сбербанк-Автоматизированная система торгов», включенной в Перечень юридических лиц для организации продажи государственного и муниципального имущества в электронной форме, утвержденный распоряжением Правительства Российской Федерации от 4 декабря 2015 г. № 2488-р, (далее - Организатор), расположенной на сайте </w:t>
      </w:r>
      <w:r>
        <w:rPr>
          <w:sz w:val="28"/>
          <w:szCs w:val="28"/>
          <w:lang w:val="en-US"/>
        </w:rPr>
        <w:t xml:space="preserve">http</w:t>
      </w:r>
      <w:r>
        <w:rPr>
          <w:sz w:val="28"/>
          <w:szCs w:val="28"/>
        </w:rPr>
        <w:t xml:space="preserve">://</w:t>
      </w:r>
      <w:r>
        <w:rPr>
          <w:sz w:val="28"/>
          <w:szCs w:val="28"/>
          <w:lang w:val="en-US"/>
        </w:rPr>
        <w:t xml:space="preserve">utp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sberbank</w:t>
      </w:r>
      <w:r>
        <w:rPr>
          <w:sz w:val="28"/>
          <w:szCs w:val="28"/>
        </w:rPr>
        <w:t xml:space="preserve">-</w:t>
      </w:r>
      <w:r>
        <w:rPr>
          <w:sz w:val="28"/>
          <w:szCs w:val="28"/>
          <w:lang w:val="en-US"/>
        </w:rPr>
        <w:t xml:space="preserve">ast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ru</w:t>
      </w:r>
      <w:r>
        <w:rPr>
          <w:sz w:val="28"/>
          <w:szCs w:val="28"/>
        </w:rPr>
        <w:t xml:space="preserve">/</w:t>
      </w:r>
      <w:r>
        <w:rPr>
          <w:sz w:val="28"/>
          <w:szCs w:val="28"/>
          <w:lang w:val="en-US"/>
        </w:rPr>
        <w:t xml:space="preserve">AP</w:t>
      </w:r>
      <w:r>
        <w:rPr>
          <w:rStyle w:val="af3"/>
          <w:rFonts w:eastAsia="Arial"/>
          <w:sz w:val="28"/>
          <w:szCs w:val="28"/>
        </w:rPr>
        <w:t xml:space="preserve"> </w:t>
      </w:r>
      <w:r>
        <w:rPr>
          <w:sz w:val="28"/>
          <w:szCs w:val="28"/>
        </w:rPr>
        <w:t xml:space="preserve">в сети «Интернет».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Форма подачи предложений о цене краевого имущества:</w:t>
      </w:r>
      <w:r>
        <w:rPr>
          <w:sz w:val="28"/>
          <w:szCs w:val="28"/>
        </w:rPr>
        <w:t xml:space="preserve"> представление предложений о цене имущества осуществляется зарегистрированным участником продажи в течение одной процедуры проведения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. Подача предложений </w:t>
      </w:r>
      <w:r>
        <w:rPr>
          <w:sz w:val="28"/>
          <w:szCs w:val="28"/>
        </w:rPr>
        <w:br/>
        <w:t xml:space="preserve">о цене имущества осуществляется в «личном кабинете» участника посредством штатного интерфейса в день и время проведения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, указанные в настоящем Информационном сообщении, на электронной площадке – универсальная торговая платформа АО «Сбербанк-АСТ», размещенная на сайте http://utp.sberbank-ast.ru </w:t>
      </w:r>
      <w:r>
        <w:rPr>
          <w:sz w:val="28"/>
          <w:szCs w:val="28"/>
        </w:rPr>
        <w:br/>
        <w:t xml:space="preserve">в сети «Интернет».</w:t>
      </w:r>
    </w:p>
    <w:p>
      <w:pPr>
        <w:spacing w:line="28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Сроки и порядок внесения и возвращения задатка, назначение платежа, реквизиты счета: </w:t>
      </w:r>
      <w:r>
        <w:rPr>
          <w:sz w:val="28"/>
          <w:szCs w:val="28"/>
        </w:rPr>
        <w:t xml:space="preserve">для участия в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  <w:t xml:space="preserve"> претенденты перечисляют задаток </w:t>
      </w:r>
      <w:r>
        <w:rPr>
          <w:sz w:val="28"/>
          <w:szCs w:val="28"/>
        </w:rPr>
        <w:br/>
        <w:t xml:space="preserve">в установленном настоящим Информационном сообщении размере в счет обеспечения оплаты приобретаемого имущества </w:t>
      </w:r>
      <w:r>
        <w:rPr>
          <w:b/>
          <w:sz w:val="28"/>
          <w:szCs w:val="28"/>
        </w:rPr>
        <w:t xml:space="preserve">на счет Организатора - </w:t>
      </w:r>
      <w:r>
        <w:rPr>
          <w:b/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АО «Сбербанк-АСТ»; ИНН 7707308480 КПП 770401001; расчетный счет 40702810300020038047; ПАО «Сбербанк России» г. Москва; БИК 044525225; корреспондентский счет 30101810400000000225.</w:t>
      </w:r>
    </w:p>
    <w:p>
      <w:pPr>
        <w:pStyle w:val="14"/>
        <w:spacing w:line="280" w:lineRule="exact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</w:t>
      </w:r>
      <w:r>
        <w:rPr>
          <w:rFonts w:ascii="Times New Roman" w:hAnsi="Times New Roman" w:eastAsiaTheme="majorEastAsia"/>
          <w:b/>
          <w:bCs/>
          <w:sz w:val="28"/>
          <w:szCs w:val="28"/>
          <w:lang w:bidi="ru-RU"/>
        </w:rPr>
        <w:t xml:space="preserve"> 23:59 часов (МСК) «</w:t>
      </w:r>
      <w:r>
        <w:rPr>
          <w:rFonts w:ascii="Times New Roman" w:hAnsi="Times New Roman" w:eastAsiaTheme="majorEastAsia"/>
          <w:b/>
          <w:bCs/>
          <w:sz w:val="28"/>
          <w:szCs w:val="28"/>
          <w:lang w:bidi="ru-RU"/>
        </w:rPr>
        <w:t xml:space="preserve">15</w:t>
      </w:r>
      <w:r>
        <w:rPr>
          <w:rFonts w:ascii="Times New Roman" w:hAnsi="Times New Roman" w:eastAsiaTheme="majorEastAsia"/>
          <w:b/>
          <w:bCs/>
          <w:sz w:val="28"/>
          <w:szCs w:val="28"/>
          <w:lang w:bidi="ru-RU"/>
        </w:rPr>
        <w:t xml:space="preserve">» </w:t>
      </w:r>
      <w:r>
        <w:rPr>
          <w:rFonts w:ascii="Times New Roman" w:hAnsi="Times New Roman" w:eastAsiaTheme="majorEastAsia"/>
          <w:b/>
          <w:bCs/>
          <w:sz w:val="28"/>
          <w:szCs w:val="28"/>
          <w:lang w:bidi="ru-RU"/>
        </w:rPr>
        <w:t xml:space="preserve">сентября</w:t>
      </w:r>
      <w:r>
        <w:rPr>
          <w:rFonts w:ascii="Times New Roman" w:hAnsi="Times New Roman" w:eastAsiaTheme="majorEastAsia"/>
          <w:b/>
          <w:bCs/>
          <w:sz w:val="28"/>
          <w:szCs w:val="28"/>
          <w:lang w:bidi="ru-RU"/>
        </w:rPr>
        <w:t xml:space="preserve"> 2026 г.</w:t>
      </w:r>
    </w:p>
    <w:p>
      <w:pPr>
        <w:tabs>
          <w:tab w:val="left" w:pos="851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Перечисление денежных средств в качестве задатка (депозита) (ИНН плательщика), НДС не облагается, для участия в продаже краевого имущества на 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  <w:t xml:space="preserve"> в электронной форме. Лот №__.</w:t>
      </w:r>
    </w:p>
    <w:p>
      <w:pPr>
        <w:tabs>
          <w:tab w:val="left" w:pos="851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Информационное сообщение является публичной офертой </w:t>
      </w:r>
      <w:r>
        <w:rPr>
          <w:sz w:val="28"/>
          <w:szCs w:val="28"/>
        </w:rPr>
        <w:br/>
        <w:t xml:space="preserve">для заключения договора о задатке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порядке. </w:t>
      </w:r>
    </w:p>
    <w:p>
      <w:pPr>
        <w:tabs>
          <w:tab w:val="left" w:pos="851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Лицам, перечислившим задаток для участия в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  <w:t xml:space="preserve">, денежные средства возвращаются в следующем порядке:</w:t>
      </w:r>
    </w:p>
    <w:p>
      <w:pPr>
        <w:tabs>
          <w:tab w:val="left" w:pos="851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участникам, за исключением его победителя - в течение пяти дней с даты подведения итогов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;</w:t>
      </w:r>
    </w:p>
    <w:p>
      <w:pPr>
        <w:tabs>
          <w:tab w:val="left" w:pos="851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претендентам, не допущенным к участию в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  <w:t xml:space="preserve">, - в течение </w:t>
      </w:r>
      <w:r>
        <w:rPr>
          <w:sz w:val="28"/>
          <w:szCs w:val="28"/>
        </w:rPr>
        <w:br/>
        <w:t xml:space="preserve">5 календарных дней со дня подписания протокола о признании претендентов участниками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;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претендентам, отозвавшим в установленном порядке заявки до даты окончания приема заявок, - задаток возвращается в течение 5 календарных дней </w:t>
      </w:r>
      <w:r>
        <w:rPr>
          <w:sz w:val="28"/>
          <w:szCs w:val="28"/>
        </w:rPr>
        <w:br/>
        <w:t xml:space="preserve">со дня поступления уведомления об отзыве заявки на участие в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  <w:t xml:space="preserve">. В случае отзыва претендентом заявки позднее дня окончания приема заявок, задаток возвращается в порядке, установленном для претендентов, не допущенных к участию в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  <w:t xml:space="preserve">.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уклонении или отказе победителя </w:t>
      </w:r>
      <w:r>
        <w:rPr>
          <w:sz w:val="28"/>
          <w:szCs w:val="28"/>
        </w:rPr>
        <w:t xml:space="preserve">конкурса </w:t>
      </w:r>
      <w:r>
        <w:rPr>
          <w:sz w:val="28"/>
          <w:szCs w:val="28"/>
        </w:rPr>
        <w:t xml:space="preserve">от заключения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установленный срок договора купли-продажи имущества </w:t>
      </w:r>
      <w:r>
        <w:rPr>
          <w:sz w:val="28"/>
          <w:szCs w:val="28"/>
        </w:rPr>
        <w:t xml:space="preserve">результаты конкурса аннулируются продавцом, победитель утрачивает право на заключение указанного договора, задаток ему не возвращается.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7. Порядок, дата и время регистрации на сайте в сети «Интернет» претендентов и подачи заявок на участие в </w:t>
      </w:r>
      <w:r>
        <w:rPr>
          <w:b/>
          <w:bCs/>
          <w:sz w:val="28"/>
          <w:szCs w:val="28"/>
        </w:rPr>
        <w:t xml:space="preserve">конкурсе</w:t>
      </w:r>
      <w:r>
        <w:rPr>
          <w:b/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 xml:space="preserve">д</w:t>
      </w:r>
      <w:r>
        <w:rPr>
          <w:sz w:val="28"/>
          <w:szCs w:val="28"/>
        </w:rPr>
        <w:t xml:space="preserve">ля участия в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  <w:t xml:space="preserve"> претенденты должны зарегистрироваться на сайте http://utp.sberbank-ast.ru в сети «Интернет» в порядке, установленном Регламентом торговой секции «Приватизация, аренда и продажа прав» универсальной торговой платформы АО «Сбербанк-АСТ», без взимания платы.</w:t>
      </w:r>
    </w:p>
    <w:p>
      <w:pPr>
        <w:pStyle w:val="af9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Регистрации на электронной площадке подлежат претенденты, ранее </w:t>
      </w:r>
      <w:r>
        <w:rPr>
          <w:sz w:val="28"/>
          <w:szCs w:val="28"/>
        </w:rPr>
        <w:br/>
        <w:t xml:space="preserve">не зарегистрированные на электронной площадке, или регистрация которых </w:t>
      </w:r>
      <w:r>
        <w:rPr>
          <w:sz w:val="28"/>
          <w:szCs w:val="28"/>
        </w:rPr>
        <w:br/>
        <w:t xml:space="preserve">на электронной площадке была ими прекращена.</w:t>
      </w:r>
    </w:p>
    <w:p>
      <w:pPr>
        <w:widowControl w:val="off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обеспечивает возможность регистрации претендентов </w:t>
      </w:r>
      <w:r>
        <w:rPr>
          <w:sz w:val="28"/>
          <w:szCs w:val="28"/>
        </w:rPr>
        <w:br/>
        <w:t xml:space="preserve">на электронной площадке, ввод ими идентифицирующих данных (имя пользователя и пароль) и возможность изменения пароля, открывает раздел, доступ к которому имеют только продавец и участники (закрытая часть электронной площадки).</w:t>
      </w:r>
    </w:p>
    <w:p>
      <w:pPr>
        <w:pStyle w:val="af9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Инструкция для участников торгов по работе в торговой секции «Приватизация, аренда и продажа прав» универсальной торговой платформы </w:t>
      </w:r>
      <w:r>
        <w:rPr>
          <w:sz w:val="28"/>
          <w:szCs w:val="28"/>
        </w:rPr>
        <w:br/>
        <w:t xml:space="preserve">АО «Сбербанк-АСТ» размещена по адресу: </w:t>
      </w:r>
      <w:hyperlink r:id="rId10" w:history="1">
        <w:r>
          <w:rPr>
            <w:rStyle w:val="af3"/>
            <w:rFonts w:eastAsia="Arial"/>
            <w:sz w:val="28"/>
            <w:szCs w:val="28"/>
          </w:rPr>
          <w:t xml:space="preserve">http://utp.sberbank-ast.ru/AP/Notice/652/Instructions</w:t>
        </w:r>
      </w:hyperlink>
      <w:r>
        <w:rPr>
          <w:rStyle w:val="af3"/>
          <w:sz w:val="28"/>
          <w:szCs w:val="28"/>
          <w:u w:val="none"/>
        </w:rPr>
        <w:t xml:space="preserve">.</w:t>
      </w:r>
    </w:p>
    <w:p>
      <w:pPr>
        <w:pStyle w:val="af9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Документооборот между претендентами, участниками, оператором электронной площадки и продавцом осуществляется через электронную площадку </w:t>
      </w:r>
      <w:r>
        <w:rPr>
          <w:sz w:val="28"/>
          <w:szCs w:val="28"/>
        </w:rPr>
        <w:br/>
        <w:t xml:space="preserve">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>
      <w:pPr>
        <w:pStyle w:val="af9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 заявок и прилагаемых к ним документов начинается с даты и времени, указанных в настоящем Информационном сообщении.</w:t>
      </w:r>
    </w:p>
    <w:p>
      <w:pPr>
        <w:pStyle w:val="af9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Подача заявки на участие в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  <w:t xml:space="preserve"> осуществляется претендентом, зарегистрированным на сайте в сети «Интернет», указанном в настоящем Информационном сообщении, из «личного кабинета» посредством штатного интерфейса электронной площадки </w:t>
      </w:r>
      <w:r>
        <w:rPr>
          <w:sz w:val="28"/>
          <w:szCs w:val="28"/>
        </w:rPr>
        <w:t xml:space="preserve">АО «Сбербанк-АСТ» </w:t>
      </w:r>
      <w:r>
        <w:rPr>
          <w:sz w:val="28"/>
          <w:szCs w:val="28"/>
        </w:rPr>
        <w:t xml:space="preserve">торговой секции «</w:t>
      </w:r>
      <w:r>
        <w:rPr>
          <w:sz w:val="28"/>
          <w:szCs w:val="28"/>
        </w:rPr>
        <w:t xml:space="preserve">Приватизация, аренда и продажа прав</w:t>
      </w:r>
      <w:r>
        <w:rPr>
          <w:sz w:val="28"/>
          <w:szCs w:val="28"/>
        </w:rPr>
        <w:t xml:space="preserve">».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Заявка подается путем заполнения ее электронной формы, размещенной </w:t>
      </w:r>
      <w:r>
        <w:rPr>
          <w:sz w:val="28"/>
          <w:szCs w:val="28"/>
        </w:rPr>
        <w:br/>
        <w:t xml:space="preserve">в открытой для доступа неограниченного круга лиц части электронной площадки (открытая часть электронной площадки), с приложением электронных документов в соответствии с перечнем, приведенным в настоящем Информационном сообщении, заверенных электронной подписью претендента либо лица, имеющего право действовать от имени претендента: </w:t>
      </w:r>
    </w:p>
    <w:p>
      <w:pPr>
        <w:pStyle w:val="af9"/>
        <w:spacing w:line="28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физические лица:</w:t>
      </w:r>
    </w:p>
    <w:p>
      <w:pPr>
        <w:pStyle w:val="af9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копии всех листов документа, удостоверяющего личность;</w:t>
      </w:r>
    </w:p>
    <w:p>
      <w:pPr>
        <w:pStyle w:val="af9"/>
        <w:spacing w:line="28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юридические лица:</w:t>
      </w:r>
    </w:p>
    <w:p>
      <w:pPr>
        <w:pStyle w:val="af9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заверенные копии учредительных документов</w:t>
      </w:r>
      <w:r>
        <w:rPr>
          <w:sz w:val="28"/>
          <w:szCs w:val="28"/>
        </w:rPr>
        <w:t xml:space="preserve">; </w:t>
      </w:r>
    </w:p>
    <w:p>
      <w:pPr>
        <w:pStyle w:val="af9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 </w:t>
      </w:r>
    </w:p>
    <w:p>
      <w:pPr>
        <w:pStyle w:val="af9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</w:t>
      </w:r>
      <w:r>
        <w:rPr>
          <w:sz w:val="28"/>
          <w:szCs w:val="28"/>
        </w:rPr>
        <w:br/>
        <w:t xml:space="preserve">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>
      <w:pPr>
        <w:pStyle w:val="af9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случае, если от имени претендента действует его представитель по доверенности, к заявке должна быть приложена доверенность на осуществление действий от имени претендента, оформленная в установленном порядке, или 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>
      <w:pPr>
        <w:pStyle w:val="af9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</w:p>
    <w:p>
      <w:pPr>
        <w:pStyle w:val="af9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Одно лицо имеет право подать только одну заявку на один объект приватизации.</w:t>
      </w:r>
    </w:p>
    <w:p>
      <w:pPr>
        <w:pStyle w:val="af9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Заявка должна соответствовать требованиям Продавца.</w:t>
      </w:r>
    </w:p>
    <w:p>
      <w:pPr>
        <w:pStyle w:val="af9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обеспечивает подачу претендентами заявок при условии заполнения ими всех полей, принятие и регистрацию в электронных журналах заявок и прилагаемых к ним документов (в журнале приема заявок). Каждой заявке присваивается номер с указанием даты и времени приема. В течение одного часа </w:t>
      </w:r>
      <w:r>
        <w:rPr>
          <w:sz w:val="28"/>
          <w:szCs w:val="28"/>
        </w:rPr>
        <w:br/>
        <w:t xml:space="preserve">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>
      <w:pPr>
        <w:pStyle w:val="af9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обеспечивает конфиденциальность сведений о поступивших заявках и прилагаемых к ним документах, а также сведений о лицах, подавших заявки, до момента размещения на электронной площадке информации об итогах приема заявок (определения участников).</w:t>
      </w:r>
    </w:p>
    <w:p>
      <w:pPr>
        <w:pStyle w:val="af9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Претендент вправе не позднее дня окончания приема заявок отозвать заявку путем направления уведомления об отзыве заявки на электронную площадку. Уведомление об отзыве заявки вместе с заявкой в течение одного часа поступает </w:t>
      </w:r>
      <w:r>
        <w:rPr>
          <w:sz w:val="28"/>
          <w:szCs w:val="28"/>
        </w:rPr>
        <w:br/>
        <w:t xml:space="preserve">в «личный кабинет» Продавца, о чем претенденту направляется соответствующее уведомление.</w:t>
      </w:r>
    </w:p>
    <w:p>
      <w:pPr>
        <w:pStyle w:val="af9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обеспечивает прекращение подачи заявок по истечении срока </w:t>
      </w:r>
      <w:r>
        <w:rPr>
          <w:sz w:val="28"/>
          <w:szCs w:val="28"/>
        </w:rPr>
        <w:br/>
        <w:t xml:space="preserve">их приема, указанного в настоящем Информационном сообщении.</w:t>
      </w:r>
    </w:p>
    <w:p>
      <w:pPr>
        <w:pStyle w:val="af9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</w:p>
    <w:p>
      <w:pPr>
        <w:widowControl w:val="off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по проведению продажи государственного краевого имущества </w:t>
      </w:r>
      <w:r>
        <w:rPr>
          <w:sz w:val="28"/>
          <w:szCs w:val="28"/>
        </w:rPr>
        <w:br/>
        <w:t xml:space="preserve">в порядке приватизации вправе продлить срок подачи заявок на участие в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и перенести принятие решения о победителе на другую дату, а также принять решение об отказе от проведения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.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8. Место, даты и время</w:t>
      </w:r>
      <w:r>
        <w:rPr>
          <w:b/>
          <w:sz w:val="28"/>
          <w:szCs w:val="28"/>
        </w:rPr>
        <w:t xml:space="preserve"> начала и окончания подачи заявок и проведения </w:t>
      </w:r>
      <w:r>
        <w:rPr>
          <w:b/>
          <w:sz w:val="28"/>
          <w:szCs w:val="28"/>
        </w:rPr>
        <w:t xml:space="preserve">конкурса</w:t>
      </w:r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 xml:space="preserve">при исчислении сроков, указанных в настоящем Информационном сообщении, принимается время сервера электронной торговой площадки - московское.</w:t>
      </w:r>
    </w:p>
    <w:p>
      <w:pPr>
        <w:widowControl w:val="off"/>
        <w:spacing w:line="280" w:lineRule="exact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Дата и время начала подачи заявок</w:t>
      </w:r>
      <w:r>
        <w:rPr>
          <w:sz w:val="28"/>
          <w:szCs w:val="28"/>
        </w:rPr>
        <w:t xml:space="preserve"> на участие в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19 августа</w:t>
      </w:r>
      <w:r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 xml:space="preserve">6</w:t>
      </w:r>
      <w:r>
        <w:rPr>
          <w:b/>
          <w:sz w:val="28"/>
          <w:szCs w:val="28"/>
        </w:rPr>
        <w:t xml:space="preserve"> г.</w:t>
      </w:r>
      <w:r>
        <w:rPr>
          <w:sz w:val="28"/>
          <w:szCs w:val="28"/>
        </w:rPr>
        <w:t xml:space="preserve">,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0</w:t>
      </w:r>
      <w:r>
        <w:rPr>
          <w:b/>
          <w:sz w:val="28"/>
          <w:szCs w:val="28"/>
        </w:rPr>
        <w:t xml:space="preserve">0.00 час. (московское время)</w:t>
      </w:r>
    </w:p>
    <w:p>
      <w:pPr>
        <w:widowControl w:val="off"/>
        <w:spacing w:line="28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Дата и время окончания подачи заявок</w:t>
      </w:r>
      <w:r>
        <w:rPr>
          <w:sz w:val="28"/>
          <w:szCs w:val="28"/>
        </w:rPr>
        <w:t xml:space="preserve"> на участие в </w:t>
      </w:r>
      <w:r>
        <w:rPr>
          <w:sz w:val="28"/>
          <w:szCs w:val="28"/>
        </w:rPr>
        <w:t xml:space="preserve">конкурсе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14 сентября</w:t>
      </w:r>
      <w:r>
        <w:rPr>
          <w:b/>
          <w:sz w:val="28"/>
          <w:szCs w:val="28"/>
        </w:rPr>
        <w:t xml:space="preserve"> 2026 г., 00.00 час. (московское время)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Место подачи заявок:</w:t>
      </w:r>
      <w:r>
        <w:rPr>
          <w:sz w:val="28"/>
          <w:szCs w:val="28"/>
        </w:rPr>
        <w:t xml:space="preserve"> электронная площадка – универсальная торговая платформа АО «Сбербанк-АСТ», размещенная на сайте http://utp.sberbank-ast.ru </w:t>
      </w:r>
      <w:r>
        <w:rPr>
          <w:sz w:val="28"/>
          <w:szCs w:val="28"/>
        </w:rPr>
        <w:br/>
        <w:t xml:space="preserve">в сети «Интернет» (торговая секция «Приватизация, аренда и продажа прав»).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Дата рассмотрения заявок и признания претендентов участниками </w:t>
      </w:r>
      <w:r>
        <w:rPr>
          <w:b/>
          <w:sz w:val="28"/>
          <w:szCs w:val="28"/>
        </w:rPr>
        <w:t xml:space="preserve">конкурса</w:t>
      </w:r>
      <w:r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t xml:space="preserve">16 сентября</w:t>
      </w:r>
      <w:r>
        <w:rPr>
          <w:b/>
          <w:sz w:val="28"/>
          <w:szCs w:val="28"/>
        </w:rPr>
        <w:t xml:space="preserve"> 2026 г.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позднее следующего рабочего дня после дня подписания протокола </w:t>
      </w:r>
      <w:r>
        <w:rPr>
          <w:sz w:val="28"/>
          <w:szCs w:val="28"/>
        </w:rPr>
        <w:br/>
        <w:t xml:space="preserve">о признании претендентов участниками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 всем претендентам, подавшим заявки, направляется уведомление о признании их участниками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или об отказе в признании участниками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 с указанием оснований отказа. 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обеспечивает уведомление претендентов о принятом Продавцом решении о признании их участниками либо отказе в доступе к участию в продаже имущества.</w:t>
      </w:r>
    </w:p>
    <w:p>
      <w:pPr>
        <w:spacing w:line="28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Дата и время проведения </w:t>
      </w:r>
      <w:r>
        <w:rPr>
          <w:b/>
          <w:sz w:val="28"/>
          <w:szCs w:val="28"/>
        </w:rPr>
        <w:t xml:space="preserve">конкурса</w:t>
      </w:r>
      <w:r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t xml:space="preserve">18 сентября</w:t>
      </w:r>
      <w:r>
        <w:rPr>
          <w:b/>
          <w:sz w:val="28"/>
          <w:szCs w:val="28"/>
        </w:rPr>
        <w:t xml:space="preserve"> 2026 г., </w:t>
      </w:r>
      <w:r>
        <w:rPr>
          <w:b/>
          <w:sz w:val="28"/>
          <w:szCs w:val="28"/>
        </w:rPr>
        <w:t xml:space="preserve">07</w:t>
      </w:r>
      <w:r>
        <w:rPr>
          <w:b/>
          <w:sz w:val="28"/>
          <w:szCs w:val="28"/>
        </w:rPr>
        <w:t xml:space="preserve">.00 час. (московское время).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Место проведения </w:t>
      </w:r>
      <w:r>
        <w:rPr>
          <w:b/>
          <w:sz w:val="28"/>
          <w:szCs w:val="28"/>
        </w:rPr>
        <w:t xml:space="preserve">конкурса</w:t>
      </w:r>
      <w:r>
        <w:rPr>
          <w:b/>
          <w:sz w:val="28"/>
          <w:szCs w:val="28"/>
        </w:rPr>
        <w:t xml:space="preserve"> и подведения итогов: </w:t>
      </w:r>
      <w:r>
        <w:rPr>
          <w:sz w:val="28"/>
          <w:szCs w:val="28"/>
        </w:rPr>
        <w:t xml:space="preserve">электронная площадка – универсальная торговая платформа АО «Сбербанк-АСТ», размещенная на сайте http://utp.sberbank-ast.ru в сети «Интернет» (торговая секция «Приватизация, аренда и продажа прав»).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обеспечивает равный доступ участников к процедуре продажи имущества.</w:t>
      </w:r>
    </w:p>
    <w:p>
      <w:pPr>
        <w:spacing w:line="280" w:lineRule="exact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9. Условия конкурса при продаже объекта культурного наследия регионального значения «Здание окружного трахоматозного диспансера, </w:t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где в 1952-1959 гг. работал заслуженный врач РСФСР окулист В.А. Коркин» 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Обязанность нового собственника по выполнению требований </w:t>
      </w:r>
      <w:r>
        <w:rPr>
          <w:sz w:val="28"/>
          <w:szCs w:val="28"/>
        </w:rPr>
        <w:br/>
        <w:t xml:space="preserve">к сохранению Объекта, к содержанию и использованию Объекта, </w:t>
      </w:r>
      <w:r>
        <w:rPr>
          <w:sz w:val="28"/>
          <w:szCs w:val="28"/>
        </w:rPr>
        <w:br/>
        <w:t xml:space="preserve">к обеспечению доступа к Объекту, к размещению наружной рекламы, </w:t>
      </w:r>
      <w:r>
        <w:rPr>
          <w:sz w:val="28"/>
          <w:szCs w:val="28"/>
        </w:rPr>
        <w:br/>
        <w:t xml:space="preserve">к установке надписей и обозначений, содержащих информацию об объекте культурного наследия, и иных требований, установленных в охранном обязательстве собственника или иного законного владельца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«Здание окружного трахоматозного диспансера, где в 1952-1959 гг. работал заслуженный врач РСФСР окулист В.А.Коркин» с регистрационным номером объекта культурного наследия в Реестре 591510204190005, утвержденного приказом Государственной инспекции по охране объектов культурного наследия Пермского края от 21 мая </w:t>
      </w:r>
      <w:r>
        <w:rPr>
          <w:sz w:val="28"/>
          <w:szCs w:val="28"/>
        </w:rPr>
        <w:br/>
        <w:t xml:space="preserve">2026 г. № Пр55-01-06-192 «Об утверждении охранного обязательства собственника или иного законного владельца объекта культурного наследия регионального значения «Здание окружного трахоматозного диспансера, где </w:t>
      </w:r>
      <w:r>
        <w:rPr>
          <w:sz w:val="28"/>
          <w:szCs w:val="28"/>
        </w:rPr>
        <w:br/>
        <w:t xml:space="preserve">в 1952-1959 гг. работал заслуженный врач РСФСР окулист В.А.Коркин».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Обязанность нового собственника по в</w:t>
      </w:r>
      <w:r>
        <w:rPr>
          <w:sz w:val="28"/>
          <w:szCs w:val="28"/>
        </w:rPr>
        <w:t xml:space="preserve">ыполнени</w:t>
      </w: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 в отношении Объекта требований, предусмотренных статьями 47.2 – 47.4 </w:t>
      </w:r>
      <w:r>
        <w:rPr>
          <w:sz w:val="28"/>
          <w:szCs w:val="28"/>
        </w:rPr>
        <w:t xml:space="preserve">Федерального закона от 25 июня </w:t>
      </w:r>
      <w:r>
        <w:rPr>
          <w:sz w:val="28"/>
          <w:szCs w:val="28"/>
        </w:rPr>
        <w:br/>
        <w:t xml:space="preserve">2002 г. № 73-ФЗ «Об объектах культурного наследия (памятниках истории </w:t>
      </w:r>
      <w:r>
        <w:rPr>
          <w:sz w:val="28"/>
          <w:szCs w:val="28"/>
        </w:rPr>
        <w:br/>
        <w:t xml:space="preserve">и культуры) народов Российской Федерации»</w:t>
      </w:r>
      <w:r>
        <w:rPr>
          <w:sz w:val="28"/>
          <w:szCs w:val="28"/>
        </w:rPr>
        <w:t xml:space="preserve">, а также иных требований, установленных законодательством в отношении объектов культурного наследия.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>
        <w:rPr>
          <w:sz w:val="28"/>
          <w:szCs w:val="28"/>
        </w:rPr>
        <w:t xml:space="preserve">Обязанность нового собственника по о</w:t>
      </w:r>
      <w:r>
        <w:rPr>
          <w:sz w:val="28"/>
          <w:szCs w:val="28"/>
        </w:rPr>
        <w:t xml:space="preserve">бращени</w:t>
      </w: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 в Государственную инспекцию по охране объектов культурного наследия Пермского края за заданием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проведение работ по сохранению объекта культурного наследия в срок не позднее 30 дней с даты регистрации перехода права собственности на Объект</w:t>
      </w:r>
      <w:r>
        <w:rPr>
          <w:sz w:val="28"/>
          <w:szCs w:val="28"/>
        </w:rPr>
        <w:t xml:space="preserve">.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>
        <w:rPr>
          <w:sz w:val="28"/>
          <w:szCs w:val="28"/>
        </w:rPr>
        <w:t xml:space="preserve">Обязанность нового собственника по о</w:t>
      </w:r>
      <w:r>
        <w:rPr>
          <w:sz w:val="28"/>
          <w:szCs w:val="28"/>
        </w:rPr>
        <w:t xml:space="preserve">беспечени</w:t>
      </w: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 разработки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согласование проектной документации по сохранению приобретённого объекта культурного наследия в соответствии со ст. 45 Федерального закона от 25 июня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2002 г. № 73-ФЗ «Об объектах культурного наследия (памятниках истории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культуры) народов Российской Федерации» в срок не позднее 1 года с даты регистрации перехода права собственности на Объект</w:t>
      </w:r>
      <w:r>
        <w:rPr>
          <w:sz w:val="28"/>
          <w:szCs w:val="28"/>
        </w:rPr>
        <w:t xml:space="preserve">.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>
        <w:rPr>
          <w:sz w:val="28"/>
          <w:szCs w:val="28"/>
        </w:rPr>
        <w:t xml:space="preserve">Обязанность нового собственника по п</w:t>
      </w:r>
      <w:r>
        <w:rPr>
          <w:sz w:val="28"/>
          <w:szCs w:val="28"/>
        </w:rPr>
        <w:t xml:space="preserve">роведени</w:t>
      </w:r>
      <w:r>
        <w:rPr>
          <w:sz w:val="28"/>
          <w:szCs w:val="28"/>
        </w:rPr>
        <w:t xml:space="preserve">ю </w:t>
      </w:r>
      <w:r>
        <w:rPr>
          <w:sz w:val="28"/>
          <w:szCs w:val="28"/>
        </w:rPr>
        <w:t xml:space="preserve">работ по сохранению Объекта в соответствии с охранным обязательством, проектной документацией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срок до 31 декабря 2029 г.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 Экономическое обоснование в силу прямого указания федерального законодательства: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статья 29 Федерального закона от 21</w:t>
      </w:r>
      <w:r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 xml:space="preserve">2001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имущества»;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статья 48 Федерального закона от 25</w:t>
      </w:r>
      <w:r>
        <w:rPr>
          <w:sz w:val="28"/>
          <w:szCs w:val="28"/>
        </w:rPr>
        <w:t xml:space="preserve"> июня </w:t>
      </w:r>
      <w:r>
        <w:rPr>
          <w:sz w:val="28"/>
          <w:szCs w:val="28"/>
        </w:rPr>
        <w:t xml:space="preserve">2002 </w:t>
      </w:r>
      <w:r>
        <w:rPr>
          <w:sz w:val="28"/>
          <w:szCs w:val="28"/>
        </w:rPr>
        <w:t xml:space="preserve">г.</w:t>
      </w:r>
      <w:r>
        <w:rPr>
          <w:sz w:val="28"/>
          <w:szCs w:val="28"/>
        </w:rPr>
        <w:t xml:space="preserve"> № 73-ФЗ «Об объектах культурного наследия (памятниках истории и культуры) народов Российской Федерации».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) </w:t>
      </w:r>
      <w:r>
        <w:rPr>
          <w:sz w:val="28"/>
          <w:szCs w:val="28"/>
        </w:rPr>
        <w:t xml:space="preserve">Срок исполнения условий конкурса: до 31</w:t>
      </w:r>
      <w:r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 xml:space="preserve">2029</w:t>
      </w:r>
      <w:r>
        <w:rPr>
          <w:sz w:val="28"/>
          <w:szCs w:val="28"/>
        </w:rPr>
        <w:t xml:space="preserve"> г.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) </w:t>
      </w:r>
      <w:r>
        <w:rPr>
          <w:sz w:val="28"/>
          <w:szCs w:val="28"/>
        </w:rPr>
        <w:t xml:space="preserve">Порядок подтверждения победителем конкурса исполнения условий конкурса: устанавливается в договоре купли-продажи</w:t>
      </w:r>
      <w:r>
        <w:rPr>
          <w:sz w:val="28"/>
          <w:szCs w:val="28"/>
        </w:rPr>
        <w:t xml:space="preserve"> (приложение </w:t>
      </w:r>
      <w:r>
        <w:rPr>
          <w:sz w:val="28"/>
          <w:szCs w:val="28"/>
        </w:rPr>
        <w:br/>
        <w:t xml:space="preserve">к информационному сообщению)</w:t>
      </w:r>
      <w:r>
        <w:rPr>
          <w:sz w:val="28"/>
          <w:szCs w:val="28"/>
        </w:rPr>
        <w:t xml:space="preserve">.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Внесение изменений и дополнений в условия конкурса и обязательства победителя после заключения договора купли-продажи не допускается, </w:t>
      </w:r>
      <w:r>
        <w:rPr>
          <w:sz w:val="28"/>
          <w:szCs w:val="28"/>
        </w:rPr>
        <w:br/>
        <w:t xml:space="preserve">за исключением случаев, предусмотренных статьей 451 Гражданского кодекса Российской Федерации.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) </w:t>
      </w:r>
      <w:r>
        <w:rPr>
          <w:sz w:val="28"/>
          <w:szCs w:val="28"/>
        </w:rPr>
        <w:t xml:space="preserve">Покупатель (новый собственник) не может отчуждать Объект третьим лицам до подписания акта приемки выполненных работ по сохранению объекта культурного наследия. 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bookmarkStart w:id="0" w:name="Par2"/>
      <w:bookmarkEnd w:id="0"/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) </w:t>
      </w:r>
      <w:r>
        <w:rPr>
          <w:sz w:val="28"/>
          <w:szCs w:val="28"/>
        </w:rPr>
        <w:t xml:space="preserve">В случае нарушения новым собственником Объекта существенных условий договора купли-продажи договор купли-продажи подлежит расторжению.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</w:t>
      </w:r>
      <w:r>
        <w:rPr>
          <w:sz w:val="28"/>
          <w:szCs w:val="28"/>
        </w:rPr>
        <w:t xml:space="preserve">) </w:t>
      </w:r>
      <w:r>
        <w:rPr>
          <w:sz w:val="28"/>
          <w:szCs w:val="28"/>
        </w:rPr>
        <w:t xml:space="preserve">В случае расторжения договора купли-продажи Объекта в связи </w:t>
      </w:r>
      <w:r>
        <w:rPr>
          <w:sz w:val="28"/>
          <w:szCs w:val="28"/>
        </w:rPr>
        <w:br/>
        <w:t xml:space="preserve">с нарушением новым собственником обязанности выполнить в срок </w:t>
      </w:r>
      <w:r>
        <w:rPr>
          <w:sz w:val="28"/>
          <w:szCs w:val="28"/>
        </w:rPr>
        <w:br/>
        <w:t xml:space="preserve">и в полном объеме условия конкурса Объект подлежит возврату </w:t>
      </w:r>
      <w:r>
        <w:rPr>
          <w:sz w:val="28"/>
          <w:szCs w:val="28"/>
        </w:rPr>
        <w:br/>
        <w:t xml:space="preserve">в собственность Пермского края без возмещения собственнику стоимости Объекта, включая неотделимые улучшения, и без компенсации расходов, связанных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с исполнением договора купли-продажи.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) </w:t>
      </w:r>
      <w:r>
        <w:rPr>
          <w:sz w:val="28"/>
          <w:szCs w:val="28"/>
        </w:rPr>
        <w:t xml:space="preserve">Приватизация Объекта осуществляется с одновременным предоставлением победителю конкурса земельного участка</w:t>
      </w:r>
      <w:r>
        <w:rPr>
          <w:sz w:val="28"/>
          <w:szCs w:val="28"/>
        </w:rPr>
        <w:t xml:space="preserve"> площадью 4231 кв.м. с кадастровым номером 81:07:0049003:98, категория земель: земли населенных пунктов, виды разрешенного использования: </w:t>
      </w:r>
      <w:r>
        <w:rPr>
          <w:sz w:val="28"/>
          <w:szCs w:val="28"/>
        </w:rPr>
        <w:t xml:space="preserve">для оздоровительной деятельности</w:t>
      </w:r>
      <w:r>
        <w:rPr>
          <w:sz w:val="28"/>
          <w:szCs w:val="28"/>
        </w:rPr>
        <w:t xml:space="preserve">, адрес: Российская Федерация, Пермский край, муниципальный округ Кудымкарский, город Кудымкар, улица Яковкина, з/у 4,</w:t>
      </w:r>
      <w:r>
        <w:rPr>
          <w:sz w:val="28"/>
          <w:szCs w:val="28"/>
        </w:rPr>
        <w:t xml:space="preserve"> занимаемого Объектом культурного наследия и необходимого для его использования, в аренду.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</w:t>
      </w:r>
      <w:r>
        <w:rPr>
          <w:sz w:val="28"/>
          <w:szCs w:val="28"/>
        </w:rPr>
        <w:t xml:space="preserve">) </w:t>
      </w:r>
      <w:r>
        <w:rPr>
          <w:sz w:val="28"/>
          <w:szCs w:val="28"/>
        </w:rPr>
        <w:t xml:space="preserve">Размер арендной платы за земельный участок, на котором расположен Объект, устанавливается равным одному рублю в год на весь срок выполнения условий конкурса.  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10</w:t>
      </w:r>
      <w:r>
        <w:rPr>
          <w:b/>
          <w:sz w:val="28"/>
          <w:szCs w:val="28"/>
        </w:rPr>
        <w:t xml:space="preserve">. Правила проведения </w:t>
      </w:r>
      <w:r>
        <w:rPr>
          <w:b/>
          <w:sz w:val="28"/>
          <w:szCs w:val="28"/>
        </w:rPr>
        <w:t xml:space="preserve">конкурса</w:t>
      </w:r>
      <w:r>
        <w:rPr>
          <w:b/>
          <w:sz w:val="28"/>
          <w:szCs w:val="28"/>
        </w:rPr>
        <w:t xml:space="preserve"> и определения победителя: </w:t>
      </w:r>
      <w:r>
        <w:rPr>
          <w:sz w:val="28"/>
          <w:szCs w:val="28"/>
        </w:rPr>
        <w:t xml:space="preserve">конкурс</w:t>
      </w:r>
      <w:r>
        <w:rPr>
          <w:sz w:val="28"/>
          <w:szCs w:val="28"/>
        </w:rPr>
        <w:t xml:space="preserve"> проводится в день и время, указанные в Информационном сообщении о проведении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, путем последовательного повышения участниками начальной цены продажи на величину, равную либо кратную величине «шага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».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«Шаг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» устанавливается продавцом в фиксированной сумме, составляющей не более 5 процентов начальной цены продажи, и не изменяется </w:t>
      </w:r>
      <w:r>
        <w:rPr>
          <w:sz w:val="28"/>
          <w:szCs w:val="28"/>
        </w:rPr>
        <w:br/>
        <w:t xml:space="preserve">в течение всего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.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время проведения процедуры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 оператор электронной площадки обеспечивает доступ участников к закрытой части электронной площадки </w:t>
      </w:r>
      <w:r>
        <w:rPr>
          <w:sz w:val="28"/>
          <w:szCs w:val="28"/>
        </w:rPr>
        <w:br/>
        <w:t xml:space="preserve">и возможность представления ими предложений о цене имущества.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 времени начала проведения процедуры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 оператором электронной площадки размещается: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открытой части электронной площадки - информация о начале проведения процедуры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 с указанием наименования имущества, начальной цены </w:t>
      </w:r>
      <w:r>
        <w:rPr>
          <w:sz w:val="28"/>
          <w:szCs w:val="28"/>
        </w:rPr>
        <w:br/>
        <w:t xml:space="preserve">и текущего «шага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»;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закрытой части электронной площадки - помимо информации, указанной </w:t>
      </w:r>
      <w:r>
        <w:rPr>
          <w:sz w:val="28"/>
          <w:szCs w:val="28"/>
        </w:rPr>
        <w:br/>
        <w:t xml:space="preserve">в открытой части электронной площадки, также предложения о цене имущества </w:t>
      </w:r>
      <w:r>
        <w:rPr>
          <w:sz w:val="28"/>
          <w:szCs w:val="28"/>
        </w:rPr>
        <w:br/>
        <w:t xml:space="preserve">и время их поступления, величина повышения начальной цены («шаг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»), время, оставшееся до окончания приема предложений о цене имущества.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одного часа со времени начала проведения процедуры </w:t>
      </w:r>
      <w:r>
        <w:rPr>
          <w:sz w:val="28"/>
          <w:szCs w:val="28"/>
        </w:rPr>
        <w:t xml:space="preserve">конкурса </w:t>
      </w:r>
      <w:r>
        <w:rPr>
          <w:sz w:val="28"/>
          <w:szCs w:val="28"/>
        </w:rPr>
        <w:t xml:space="preserve">участникам предлагается заявить о приобретении имущества по начальной цене. </w:t>
      </w:r>
      <w:r>
        <w:rPr>
          <w:sz w:val="28"/>
          <w:szCs w:val="28"/>
        </w:rPr>
        <w:br/>
        <w:t xml:space="preserve">В случае если в течение указанного времени: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поступило предложение о начальной цене имущества, то время </w:t>
      </w:r>
      <w:r>
        <w:rPr>
          <w:sz w:val="28"/>
          <w:szCs w:val="28"/>
        </w:rPr>
        <w:br/>
        <w:t xml:space="preserve">для представления следующих предложений об увеличенной на «шаг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</w:t>
      </w:r>
      <w:r>
        <w:rPr>
          <w:sz w:val="28"/>
          <w:szCs w:val="28"/>
        </w:rPr>
        <w:t xml:space="preserve">конкурс</w:t>
      </w:r>
      <w:r>
        <w:rPr>
          <w:sz w:val="28"/>
          <w:szCs w:val="28"/>
        </w:rPr>
        <w:t xml:space="preserve"> с помощью программно-аппаратных средств электронной площадки завершается;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поступило ни одного предложения о начальной цене имущества, то </w:t>
      </w:r>
      <w:r>
        <w:rPr>
          <w:sz w:val="28"/>
          <w:szCs w:val="28"/>
        </w:rPr>
        <w:t xml:space="preserve">конкурс</w:t>
      </w:r>
      <w:r>
        <w:rPr>
          <w:sz w:val="28"/>
          <w:szCs w:val="28"/>
        </w:rPr>
        <w:t xml:space="preserve"> с помощью программно-аппаратных средств электронной площадки завершается. </w:t>
      </w:r>
      <w:r>
        <w:rPr>
          <w:sz w:val="28"/>
          <w:szCs w:val="28"/>
        </w:rPr>
        <w:br/>
        <w:t xml:space="preserve">В этом случае временем окончания представления предложений о цене имущества является время завершения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.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программными средствами электронной площадки обеспечивается: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исключение возможности подачи участником предложения о цене имущества, не соответствующего увеличению текущей цены на величину «шага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»;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Победителем признается участник, предложивший наиболее высокую цену имущества.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Ход проведения процедуры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</w:t>
      </w:r>
      <w:r>
        <w:rPr>
          <w:sz w:val="28"/>
          <w:szCs w:val="28"/>
        </w:rPr>
        <w:t xml:space="preserve"> конкурса </w:t>
      </w:r>
      <w:r>
        <w:rPr>
          <w:sz w:val="28"/>
          <w:szCs w:val="28"/>
        </w:rPr>
        <w:t xml:space="preserve">путем оформления протокола об итогах</w:t>
      </w:r>
      <w:r>
        <w:rPr>
          <w:sz w:val="28"/>
          <w:szCs w:val="28"/>
        </w:rPr>
        <w:t xml:space="preserve"> конкурса. 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Протокол об итогах</w:t>
      </w:r>
      <w:r>
        <w:rPr>
          <w:sz w:val="28"/>
          <w:szCs w:val="28"/>
        </w:rPr>
        <w:t xml:space="preserve"> конкурса </w:t>
      </w:r>
      <w:r>
        <w:rPr>
          <w:sz w:val="28"/>
          <w:szCs w:val="28"/>
        </w:rPr>
        <w:t xml:space="preserve">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</w:t>
      </w:r>
      <w:r>
        <w:rPr>
          <w:sz w:val="28"/>
          <w:szCs w:val="28"/>
        </w:rPr>
        <w:t xml:space="preserve"> конкурса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цену имущества,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</w:t>
      </w:r>
      <w:r>
        <w:rPr>
          <w:sz w:val="28"/>
          <w:szCs w:val="28"/>
        </w:rPr>
        <w:t xml:space="preserve"> конкурса. 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 признается несостоявшимся в следующих случаях: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не подано ни одной заявки на участие либо ни один из претендентов не признан участником;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ни один из участников не сделал предложение о цене имущества;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принято решение о признании только одного претендента участником, если иное не установлено Федеральным законом о приватизации. </w:t>
      </w:r>
      <w:r>
        <w:rPr>
          <w:sz w:val="28"/>
          <w:szCs w:val="28"/>
        </w:rPr>
        <w:t xml:space="preserve">Решение о признании</w:t>
      </w:r>
      <w:r>
        <w:rPr>
          <w:sz w:val="28"/>
          <w:szCs w:val="28"/>
        </w:rPr>
        <w:t xml:space="preserve"> конкурса </w:t>
      </w:r>
      <w:r>
        <w:rPr>
          <w:sz w:val="28"/>
          <w:szCs w:val="28"/>
        </w:rPr>
        <w:t xml:space="preserve">несостоявшимся оформляется протоколом.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Уведомление о признании участника</w:t>
      </w:r>
      <w:r>
        <w:rPr>
          <w:sz w:val="28"/>
          <w:szCs w:val="28"/>
        </w:rPr>
        <w:t xml:space="preserve"> конкурса </w:t>
      </w:r>
      <w:r>
        <w:rPr>
          <w:sz w:val="28"/>
          <w:szCs w:val="28"/>
        </w:rPr>
        <w:t xml:space="preserve">победителем направляется победителю в день подведения итогов</w:t>
      </w:r>
      <w:r>
        <w:rPr>
          <w:sz w:val="28"/>
          <w:szCs w:val="28"/>
        </w:rPr>
        <w:t xml:space="preserve"> конкурса. 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одного часа со времени подписания протокола об итогах</w:t>
      </w:r>
      <w:r>
        <w:rPr>
          <w:sz w:val="28"/>
          <w:szCs w:val="28"/>
        </w:rPr>
        <w:t xml:space="preserve"> конкурса </w:t>
      </w:r>
      <w:r>
        <w:rPr>
          <w:sz w:val="28"/>
          <w:szCs w:val="28"/>
        </w:rPr>
        <w:t xml:space="preserve">победителю направляется уведомление о признании его победителем с приложением данного протокола, а также размещается в открытой части электронной площадки следующая информация:</w:t>
      </w:r>
    </w:p>
    <w:p>
      <w:pPr>
        <w:widowControl w:val="off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наименование имущества и иные позволяющие его индивидуализировать сведения;</w:t>
      </w:r>
    </w:p>
    <w:p>
      <w:pPr>
        <w:widowControl w:val="off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цена сделки;</w:t>
      </w:r>
    </w:p>
    <w:p>
      <w:pPr>
        <w:widowControl w:val="off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фамилия, имя, отчество физического лица или наименование юридического лица – победителя</w:t>
      </w:r>
      <w:r>
        <w:rPr>
          <w:sz w:val="28"/>
          <w:szCs w:val="28"/>
        </w:rPr>
        <w:t xml:space="preserve">. </w:t>
      </w:r>
    </w:p>
    <w:p>
      <w:pPr>
        <w:widowControl w:val="off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случае, если на конкурс подана только одна заявка на приобретение объекта культурного наследия, находящегося в неудовлетворительном состоянии, договор купли-продажи может быть заключен с таким лицом.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</w:t>
      </w:r>
      <w:r>
        <w:rPr>
          <w:b/>
          <w:sz w:val="28"/>
          <w:szCs w:val="28"/>
        </w:rPr>
        <w:t xml:space="preserve">1</w:t>
      </w:r>
      <w:r>
        <w:rPr>
          <w:b/>
          <w:sz w:val="28"/>
          <w:szCs w:val="28"/>
        </w:rPr>
        <w:t xml:space="preserve">. Срок заключения договора купли-продажи краевого имущества: 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Заключение договора купли-продажи с победителем конкурса осуществляется не ранее чем через десять дней и не позднее двадцати дней со дня размещения </w:t>
      </w:r>
      <w:r>
        <w:rPr>
          <w:sz w:val="28"/>
          <w:szCs w:val="28"/>
        </w:rPr>
        <w:br/>
        <w:t xml:space="preserve">на официальном сайте в сети "Интернет" протокола об итогах конкурса.</w:t>
      </w:r>
      <w:r>
        <w:rPr>
          <w:sz w:val="28"/>
          <w:szCs w:val="28"/>
        </w:rPr>
        <w:t xml:space="preserve"> 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Договор купли-продажи имущества заключается в форме электронного документа.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уклонении или отказе победителя</w:t>
      </w:r>
      <w:r>
        <w:rPr>
          <w:sz w:val="28"/>
          <w:szCs w:val="28"/>
        </w:rPr>
        <w:t xml:space="preserve"> конкурса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 заключения в установленный срок договора купли-продажи имущества задаток ему не возвращается, и он утрачивает право на заключение указанного договора.</w:t>
      </w:r>
    </w:p>
    <w:p>
      <w:pPr>
        <w:pStyle w:val="afff7"/>
        <w:widowControl w:val="off"/>
        <w:spacing w:after="0" w:line="28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</w:t>
      </w:r>
      <w:r>
        <w:rPr>
          <w:sz w:val="28"/>
          <w:szCs w:val="28"/>
        </w:rPr>
        <w:br/>
        <w:t xml:space="preserve">с законодательством Российской Федерации в договоре купли-продажи имущества, задаток ему не возвращается.</w:t>
      </w:r>
    </w:p>
    <w:p>
      <w:pPr>
        <w:spacing w:line="28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</w:t>
      </w:r>
      <w:r>
        <w:rPr>
          <w:b/>
          <w:sz w:val="28"/>
          <w:szCs w:val="28"/>
        </w:rPr>
        <w:t xml:space="preserve">2</w:t>
      </w:r>
      <w:r>
        <w:rPr>
          <w:b/>
          <w:sz w:val="28"/>
          <w:szCs w:val="28"/>
        </w:rPr>
        <w:t xml:space="preserve">. Условия и срок платежа, реквизиты счета для оплаты приобретаемого краевого имущества по договору купли-продажи</w:t>
      </w:r>
      <w:r>
        <w:rPr>
          <w:sz w:val="28"/>
          <w:szCs w:val="28"/>
        </w:rPr>
        <w:t xml:space="preserve">: оплата приобретаемого краевого имущества производится путем перечисления денежных средств в валюте Российской Федерации в безналичном порядке единовременно по следующим реквизитам:</w:t>
      </w:r>
      <w:r>
        <w:rPr>
          <w:b/>
          <w:sz w:val="28"/>
          <w:szCs w:val="28"/>
        </w:rPr>
        <w:t xml:space="preserve"> на специальный лицевой счет Продавца</w:t>
      </w:r>
      <w:r>
        <w:rPr>
          <w:b/>
          <w:color w:val="000000"/>
          <w:sz w:val="28"/>
          <w:szCs w:val="28"/>
        </w:rPr>
        <w:t xml:space="preserve">: </w:t>
      </w:r>
      <w:r>
        <w:rPr>
          <w:b/>
          <w:sz w:val="28"/>
          <w:szCs w:val="28"/>
        </w:rPr>
        <w:t xml:space="preserve">Банк получателя: ОКЦ №3УГУ Банка России//УФК по Пермскому краю г. Пермь, БИК 015773997, Единый казначейский счет (ЕКС) № 40102810145370000048, Казначейский счет </w:t>
      </w:r>
    </w:p>
    <w:p>
      <w:pPr>
        <w:spacing w:line="28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03222643570000005600, Получатель: Минфин Пермского края (Министерство </w:t>
      </w:r>
    </w:p>
    <w:p>
      <w:pPr>
        <w:spacing w:line="280" w:lineRule="exact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 управлению имуществом и градостроительной деятельности Пермского края, л/с № 058120421), ИНН 5902293192, КПП 590401001, ОКТМО 57701000</w:t>
      </w:r>
      <w:r>
        <w:rPr>
          <w:b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br/>
        <w:t xml:space="preserve">в течение 10 (Десяти) дней со дня заключения договора купли-продажи. Задаток, перечисленный победителем</w:t>
      </w:r>
      <w:r>
        <w:rPr>
          <w:sz w:val="28"/>
          <w:szCs w:val="28"/>
        </w:rPr>
        <w:t xml:space="preserve"> конкурса </w:t>
      </w:r>
      <w:r>
        <w:rPr>
          <w:sz w:val="28"/>
          <w:szCs w:val="28"/>
        </w:rPr>
        <w:t xml:space="preserve">засчитывается в счет оплаты приобретаемого имущества (в сумму платежа по договору купли-продажи).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уклонения или отказа покупателя от оплаты приобретаемого имущества покупателем уплачивается неустойка в соответствии с договором купли-продажи имущества.</w:t>
      </w:r>
    </w:p>
    <w:p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 оплаты покупателем приобретаемого имущества подтверждается выпиской со счета, указанного в настоящем Информационном сообщении, подтверждающей поступление денежных средств в размере и сроки, предусмотренные договором купли-продажи имущества.</w:t>
      </w:r>
    </w:p>
    <w:p>
      <w:pPr>
        <w:pStyle w:val="ae"/>
        <w:widowControl w:val="off"/>
        <w:tabs>
          <w:tab w:val="left" w:pos="142"/>
          <w:tab w:val="left" w:pos="284"/>
        </w:tabs>
        <w:spacing w:line="280" w:lineRule="exact"/>
        <w:ind w:left="0" w:right="-2" w:firstLine="709"/>
        <w:contextualSpacing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</w:t>
      </w:r>
      <w:r>
        <w:rPr>
          <w:b/>
          <w:bCs/>
          <w:sz w:val="28"/>
          <w:szCs w:val="28"/>
        </w:rPr>
        <w:t xml:space="preserve">3</w:t>
      </w:r>
      <w:r>
        <w:rPr>
          <w:b/>
          <w:bCs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Порядок ознакомления покупателей с иной информацией, условиями договора купли-продажи краевого имущества:</w:t>
      </w:r>
      <w:r>
        <w:rPr>
          <w:sz w:val="28"/>
          <w:szCs w:val="28"/>
        </w:rPr>
        <w:t xml:space="preserve"> с иной информацией, условиями договора купли-продажи имущества можно ознакомиться по адресу: Пермский край, г. Пермь, ул. Сибирская, д. 30а, 1 этаж, каб.112 (с понедельника по четверг </w:t>
      </w:r>
      <w:r>
        <w:rPr>
          <w:sz w:val="28"/>
          <w:szCs w:val="28"/>
        </w:rPr>
        <w:br/>
        <w:t xml:space="preserve">с 09.00 час. до 17.00 час., в пятницу с 09.00 час. до 16.00 час., перерыв с 13.00 час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br/>
        <w:t xml:space="preserve">до 13.48 час. (время местное</w:t>
      </w:r>
      <w:r>
        <w:rPr>
          <w:sz w:val="28"/>
          <w:szCs w:val="28"/>
        </w:rPr>
        <w:t xml:space="preserve">); тел. (342) 211 04 67 (доб. 1168), </w:t>
      </w:r>
      <w:r>
        <w:rPr>
          <w:bCs/>
          <w:sz w:val="28"/>
          <w:szCs w:val="28"/>
        </w:rPr>
        <w:t xml:space="preserve">адрес электронной почты: </w:t>
      </w:r>
      <w:r>
        <w:rPr>
          <w:bCs/>
          <w:sz w:val="28"/>
          <w:szCs w:val="28"/>
          <w:lang w:val="en-US"/>
        </w:rPr>
        <w:t xml:space="preserve">nazubareva</w:t>
      </w:r>
      <w:r>
        <w:rPr>
          <w:bCs/>
          <w:sz w:val="28"/>
          <w:szCs w:val="28"/>
        </w:rPr>
        <w:t xml:space="preserve">@</w:t>
      </w:r>
      <w:r>
        <w:rPr>
          <w:bCs/>
          <w:sz w:val="28"/>
          <w:szCs w:val="28"/>
          <w:lang w:val="en-US"/>
        </w:rPr>
        <w:t xml:space="preserve">auprim</w:t>
      </w:r>
      <w:r>
        <w:rPr>
          <w:bCs/>
          <w:sz w:val="28"/>
          <w:szCs w:val="28"/>
        </w:rPr>
        <w:t xml:space="preserve">.</w:t>
      </w:r>
      <w:r>
        <w:rPr>
          <w:bCs/>
          <w:sz w:val="28"/>
          <w:szCs w:val="28"/>
          <w:lang w:val="en-US"/>
        </w:rPr>
        <w:t xml:space="preserve">permkrai</w:t>
      </w:r>
      <w:r>
        <w:rPr>
          <w:bCs/>
          <w:sz w:val="28"/>
          <w:szCs w:val="28"/>
        </w:rPr>
        <w:t xml:space="preserve">.</w:t>
      </w:r>
      <w:r>
        <w:rPr>
          <w:bCs/>
          <w:sz w:val="28"/>
          <w:szCs w:val="28"/>
          <w:lang w:val="en-US"/>
        </w:rPr>
        <w:t xml:space="preserve">ru</w:t>
      </w:r>
      <w:r>
        <w:rPr>
          <w:bCs/>
          <w:sz w:val="28"/>
          <w:szCs w:val="28"/>
        </w:rPr>
        <w:t xml:space="preserve">, сайт: </w:t>
      </w:r>
      <w:r>
        <w:rPr>
          <w:sz w:val="28"/>
          <w:szCs w:val="28"/>
        </w:rPr>
        <w:t xml:space="preserve">http://migd.permkrai.ru/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 xml:space="preserve">в течение указанного в настоящем Информационном сообщении срока подачи заявок (со дня приема заявок).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информации.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</w:t>
      </w:r>
      <w:r>
        <w:rPr>
          <w:sz w:val="28"/>
          <w:szCs w:val="28"/>
        </w:rPr>
        <w:br/>
        <w:t xml:space="preserve">5 рабочих дней до окончания подачи заявок.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</w:t>
      </w:r>
      <w:r>
        <w:rPr>
          <w:sz w:val="28"/>
          <w:szCs w:val="28"/>
        </w:rPr>
        <w:br/>
        <w:t xml:space="preserve">с указанием предмета запроса, но без указания лица, от которого поступил запрос.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1</w:t>
      </w:r>
      <w:r>
        <w:rPr>
          <w:b/>
          <w:sz w:val="28"/>
          <w:szCs w:val="28"/>
        </w:rPr>
        <w:t xml:space="preserve">4</w:t>
      </w:r>
      <w:r>
        <w:rPr>
          <w:b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 xml:space="preserve">Ограничения участия отдельных категорий физических лиц </w:t>
      </w:r>
      <w:r>
        <w:rPr>
          <w:b/>
          <w:bCs/>
          <w:sz w:val="28"/>
          <w:szCs w:val="28"/>
        </w:rPr>
        <w:br/>
        <w:t xml:space="preserve">и юридических лиц в приватизации краевого имущества: </w:t>
      </w:r>
      <w:r>
        <w:rPr>
          <w:bCs/>
          <w:sz w:val="28"/>
          <w:szCs w:val="28"/>
        </w:rPr>
        <w:t xml:space="preserve">покупателями краевого имущества могут быть любые физические и юридические лица, за исключением государственных и муниципальных унитарных предприятий, государственных </w:t>
      </w:r>
      <w:r>
        <w:rPr>
          <w:bCs/>
          <w:sz w:val="28"/>
          <w:szCs w:val="28"/>
        </w:rPr>
        <w:br/>
        <w:t xml:space="preserve">и муниципальных учреждений, а также юридических лиц, в уставном капитале которых доля Российской Федерации, субъектов Российской Федерации </w:t>
      </w:r>
      <w:r>
        <w:rPr>
          <w:bCs/>
          <w:sz w:val="28"/>
          <w:szCs w:val="28"/>
        </w:rPr>
        <w:br/>
        <w:t xml:space="preserve">и муниципальных образований превышает 25 процентов, кроме случаев, предусмотренных статьей 25 Федерального закона от 21.12.2001 № 178-ФЗ </w:t>
      </w:r>
      <w:r>
        <w:rPr>
          <w:bCs/>
          <w:sz w:val="28"/>
          <w:szCs w:val="28"/>
        </w:rPr>
        <w:br/>
        <w:t xml:space="preserve">«О приватизации государственного и муниципального имущества»; иные ограничения в соответствии с федеральным законодательством.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1</w:t>
      </w:r>
      <w:r>
        <w:rPr>
          <w:b/>
          <w:sz w:val="28"/>
          <w:szCs w:val="28"/>
        </w:rPr>
        <w:t xml:space="preserve">5</w:t>
      </w:r>
      <w:r>
        <w:rPr>
          <w:b/>
          <w:sz w:val="28"/>
          <w:szCs w:val="28"/>
        </w:rPr>
        <w:t xml:space="preserve">. </w:t>
      </w:r>
      <w:r>
        <w:rPr>
          <w:rFonts w:eastAsiaTheme="minorHAnsi"/>
          <w:b/>
          <w:sz w:val="28"/>
          <w:szCs w:val="28"/>
          <w:lang w:eastAsia="en-US"/>
        </w:rPr>
        <w:t xml:space="preserve">Сведения обо всех предыдущих торгах по продаже краевого имущества, объявленных в течение года, предшествующего его продаже, и об итогах торгов по продаже такого имущества: </w:t>
      </w:r>
    </w:p>
    <w:p>
      <w:pPr>
        <w:tabs>
          <w:tab w:val="left" w:pos="1418"/>
        </w:tabs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продажа краевого имущества в порядке приватизации 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конкурсе</w:t>
      </w:r>
      <w:r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br/>
      </w:r>
      <w:r>
        <w:rPr>
          <w:rFonts w:eastAsiaTheme="minorEastAsia"/>
          <w:sz w:val="28"/>
          <w:szCs w:val="28"/>
        </w:rPr>
        <w:t xml:space="preserve">в электронной форме</w:t>
      </w:r>
      <w:r>
        <w:rPr>
          <w:rFonts w:eastAsiaTheme="minorEastAsia"/>
          <w:sz w:val="28"/>
          <w:szCs w:val="28"/>
        </w:rPr>
        <w:t xml:space="preserve"> признана </w:t>
      </w:r>
      <w:r>
        <w:rPr>
          <w:rFonts w:eastAsia="Calibri"/>
          <w:sz w:val="28"/>
          <w:szCs w:val="28"/>
          <w:lang w:eastAsia="en-US"/>
        </w:rPr>
        <w:t xml:space="preserve">несостоявшейся: </w:t>
      </w:r>
      <w:r>
        <w:rPr>
          <w:sz w:val="28"/>
          <w:szCs w:val="28"/>
        </w:rPr>
        <w:t xml:space="preserve">не подано ни одной заявки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участие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(п. </w:t>
      </w:r>
      <w:r>
        <w:rPr>
          <w:rFonts w:eastAsiaTheme="minorHAnsi"/>
          <w:sz w:val="28"/>
          <w:szCs w:val="28"/>
          <w:lang w:eastAsia="en-US"/>
        </w:rPr>
        <w:t xml:space="preserve">82(1)</w:t>
      </w:r>
      <w:r>
        <w:rPr>
          <w:rFonts w:eastAsiaTheme="minorHAnsi"/>
          <w:sz w:val="28"/>
          <w:szCs w:val="28"/>
          <w:lang w:eastAsia="en-US"/>
        </w:rPr>
        <w:t xml:space="preserve"> постановления Правительства РФ от 27 августа 2012 г. № 860)</w:t>
      </w:r>
      <w:r>
        <w:rPr>
          <w:sz w:val="28"/>
          <w:szCs w:val="28"/>
        </w:rPr>
        <w:t xml:space="preserve"> (Протокол об итогах продажи государственного имущества Пермского края </w:t>
      </w:r>
      <w:r>
        <w:rPr>
          <w:sz w:val="28"/>
          <w:szCs w:val="28"/>
        </w:rPr>
        <w:br/>
        <w:t xml:space="preserve">в порядке приватизации на конкурсе в электронной форме от 07 августа 2026 г.</w:t>
      </w:r>
      <w:r>
        <w:rPr>
          <w:sz w:val="28"/>
          <w:szCs w:val="28"/>
        </w:rPr>
        <w:t xml:space="preserve">).</w:t>
      </w:r>
      <w:bookmarkStart w:id="1" w:name="_GoBack"/>
      <w:bookmarkEnd w:id="1"/>
    </w:p>
    <w:sectPr>
      <w:pgSz w:w="11906" w:h="16838"/>
      <w:pgMar w:top="1276" w:right="707" w:bottom="1135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ambria">
    <w:panose1 w:val="02040803050406030204"/>
  </w:font>
  <w:font w:name="Calibri">
    <w:panose1 w:val="020F0502020204030204"/>
  </w:font>
  <w:font w:name="Courier New">
    <w:panose1 w:val="02070309020205020404"/>
  </w:font>
  <w:font w:name="Trebuchet MS">
    <w:panose1 w:val="020B0603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50E4A62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6C683A44">
      <w:start w:val="1"/>
      <w:numFmt w:val="lowerLetter"/>
      <w:lvlText w:val="%2."/>
      <w:lvlJc w:val="left"/>
      <w:pPr>
        <w:ind w:left="1080" w:hanging="360"/>
      </w:pPr>
    </w:lvl>
    <w:lvl w:ilvl="2" w:tplc="90AC7D14">
      <w:start w:val="1"/>
      <w:numFmt w:val="lowerRoman"/>
      <w:lvlText w:val="%3."/>
      <w:lvlJc w:val="right"/>
      <w:pPr>
        <w:ind w:left="1800" w:hanging="180"/>
      </w:pPr>
    </w:lvl>
    <w:lvl w:ilvl="3" w:tplc="D6760A62">
      <w:start w:val="1"/>
      <w:numFmt w:val="decimal"/>
      <w:lvlText w:val="%4."/>
      <w:lvlJc w:val="left"/>
      <w:pPr>
        <w:ind w:left="2520" w:hanging="360"/>
      </w:pPr>
    </w:lvl>
    <w:lvl w:ilvl="4" w:tplc="AF386500">
      <w:start w:val="1"/>
      <w:numFmt w:val="lowerLetter"/>
      <w:lvlText w:val="%5."/>
      <w:lvlJc w:val="left"/>
      <w:pPr>
        <w:ind w:left="3240" w:hanging="360"/>
      </w:pPr>
    </w:lvl>
    <w:lvl w:ilvl="5" w:tplc="22D82F1A">
      <w:start w:val="1"/>
      <w:numFmt w:val="lowerRoman"/>
      <w:lvlText w:val="%6."/>
      <w:lvlJc w:val="right"/>
      <w:pPr>
        <w:ind w:left="3960" w:hanging="180"/>
      </w:pPr>
    </w:lvl>
    <w:lvl w:ilvl="6" w:tplc="662AB6E4">
      <w:start w:val="1"/>
      <w:numFmt w:val="decimal"/>
      <w:lvlText w:val="%7."/>
      <w:lvlJc w:val="left"/>
      <w:pPr>
        <w:ind w:left="4680" w:hanging="360"/>
      </w:pPr>
    </w:lvl>
    <w:lvl w:ilvl="7" w:tplc="E77AD0F4">
      <w:start w:val="1"/>
      <w:numFmt w:val="lowerLetter"/>
      <w:lvlText w:val="%8."/>
      <w:lvlJc w:val="left"/>
      <w:pPr>
        <w:ind w:left="5400" w:hanging="360"/>
      </w:pPr>
    </w:lvl>
    <w:lvl w:ilvl="8" w:tplc="DE1A1252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multiLevelType w:val="hybridMultilevel"/>
    <w:lvl w:ilvl="0" w:tplc="12FCBA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7F68688">
      <w:start w:val="1"/>
      <w:numFmt w:val="lowerLetter"/>
      <w:lvlText w:val="%2."/>
      <w:lvlJc w:val="left"/>
      <w:pPr>
        <w:ind w:left="1647" w:hanging="360"/>
      </w:pPr>
    </w:lvl>
    <w:lvl w:ilvl="2" w:tplc="71A2B354">
      <w:start w:val="1"/>
      <w:numFmt w:val="lowerRoman"/>
      <w:lvlText w:val="%3."/>
      <w:lvlJc w:val="right"/>
      <w:pPr>
        <w:ind w:left="2367" w:hanging="180"/>
      </w:pPr>
    </w:lvl>
    <w:lvl w:ilvl="3" w:tplc="3DE85174">
      <w:start w:val="1"/>
      <w:numFmt w:val="decimal"/>
      <w:lvlText w:val="%4."/>
      <w:lvlJc w:val="left"/>
      <w:pPr>
        <w:ind w:left="3087" w:hanging="360"/>
      </w:pPr>
    </w:lvl>
    <w:lvl w:ilvl="4" w:tplc="67D4C23A">
      <w:start w:val="1"/>
      <w:numFmt w:val="lowerLetter"/>
      <w:lvlText w:val="%5."/>
      <w:lvlJc w:val="left"/>
      <w:pPr>
        <w:ind w:left="3807" w:hanging="360"/>
      </w:pPr>
    </w:lvl>
    <w:lvl w:ilvl="5" w:tplc="A0E8892E">
      <w:start w:val="1"/>
      <w:numFmt w:val="lowerRoman"/>
      <w:lvlText w:val="%6."/>
      <w:lvlJc w:val="right"/>
      <w:pPr>
        <w:ind w:left="4527" w:hanging="180"/>
      </w:pPr>
    </w:lvl>
    <w:lvl w:ilvl="6" w:tplc="1F265AA8">
      <w:start w:val="1"/>
      <w:numFmt w:val="decimal"/>
      <w:lvlText w:val="%7."/>
      <w:lvlJc w:val="left"/>
      <w:pPr>
        <w:ind w:left="5247" w:hanging="360"/>
      </w:pPr>
    </w:lvl>
    <w:lvl w:ilvl="7" w:tplc="635AE8B0">
      <w:start w:val="1"/>
      <w:numFmt w:val="lowerLetter"/>
      <w:lvlText w:val="%8."/>
      <w:lvlJc w:val="left"/>
      <w:pPr>
        <w:ind w:left="5967" w:hanging="360"/>
      </w:pPr>
    </w:lvl>
    <w:lvl w:ilvl="8" w:tplc="4A0C2B1A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 w:tplc="CA0016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BDE719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CB8AFD5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9D68A7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84EDC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94FC30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E55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B36CE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8138D78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 w:tplc="0D920DCC">
      <w:start w:val="5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BD060584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DE388E2C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9A5AFF4E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DB025E52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E15C33D4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B42EED1A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A412E472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68001F4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 w:tplc="9A543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13CF590">
      <w:start w:val="1"/>
      <w:numFmt w:val="lowerLetter"/>
      <w:lvlText w:val="%2."/>
      <w:lvlJc w:val="left"/>
      <w:pPr>
        <w:ind w:left="1440" w:hanging="360"/>
      </w:pPr>
    </w:lvl>
    <w:lvl w:ilvl="2" w:tplc="36FCBBDA">
      <w:start w:val="1"/>
      <w:numFmt w:val="lowerRoman"/>
      <w:lvlText w:val="%3."/>
      <w:lvlJc w:val="right"/>
      <w:pPr>
        <w:ind w:left="2160" w:hanging="180"/>
      </w:pPr>
    </w:lvl>
    <w:lvl w:ilvl="3" w:tplc="225200AA">
      <w:start w:val="1"/>
      <w:numFmt w:val="decimal"/>
      <w:lvlText w:val="%4."/>
      <w:lvlJc w:val="left"/>
      <w:pPr>
        <w:ind w:left="2880" w:hanging="360"/>
      </w:pPr>
    </w:lvl>
    <w:lvl w:ilvl="4" w:tplc="BAA8423E">
      <w:start w:val="1"/>
      <w:numFmt w:val="lowerLetter"/>
      <w:lvlText w:val="%5."/>
      <w:lvlJc w:val="left"/>
      <w:pPr>
        <w:ind w:left="3600" w:hanging="360"/>
      </w:pPr>
    </w:lvl>
    <w:lvl w:ilvl="5" w:tplc="C1CAE4C4">
      <w:start w:val="1"/>
      <w:numFmt w:val="lowerRoman"/>
      <w:lvlText w:val="%6."/>
      <w:lvlJc w:val="right"/>
      <w:pPr>
        <w:ind w:left="4320" w:hanging="180"/>
      </w:pPr>
    </w:lvl>
    <w:lvl w:ilvl="6" w:tplc="B0AEB70A">
      <w:start w:val="1"/>
      <w:numFmt w:val="decimal"/>
      <w:lvlText w:val="%7."/>
      <w:lvlJc w:val="left"/>
      <w:pPr>
        <w:ind w:left="5040" w:hanging="360"/>
      </w:pPr>
    </w:lvl>
    <w:lvl w:ilvl="7" w:tplc="7ADEF34C">
      <w:start w:val="1"/>
      <w:numFmt w:val="lowerLetter"/>
      <w:lvlText w:val="%8."/>
      <w:lvlJc w:val="left"/>
      <w:pPr>
        <w:ind w:left="5760" w:hanging="360"/>
      </w:pPr>
    </w:lvl>
    <w:lvl w:ilvl="8" w:tplc="4C329414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 w:tplc="2C38DF90">
      <w:start w:val="1"/>
      <w:numFmt w:val="decimal"/>
      <w:lvlText w:val="%1."/>
      <w:lvlJc w:val="left"/>
      <w:pPr>
        <w:ind w:left="720" w:hanging="360"/>
      </w:pPr>
    </w:lvl>
    <w:lvl w:ilvl="1" w:tplc="32E4CD46">
      <w:start w:val="1"/>
      <w:numFmt w:val="lowerLetter"/>
      <w:lvlText w:val="%2."/>
      <w:lvlJc w:val="left"/>
      <w:pPr>
        <w:ind w:left="1440" w:hanging="360"/>
      </w:pPr>
    </w:lvl>
    <w:lvl w:ilvl="2" w:tplc="9946832C">
      <w:start w:val="1"/>
      <w:numFmt w:val="lowerRoman"/>
      <w:lvlText w:val="%3."/>
      <w:lvlJc w:val="right"/>
      <w:pPr>
        <w:ind w:left="2160" w:hanging="180"/>
      </w:pPr>
    </w:lvl>
    <w:lvl w:ilvl="3" w:tplc="8E803C9A">
      <w:start w:val="1"/>
      <w:numFmt w:val="decimal"/>
      <w:lvlText w:val="%4."/>
      <w:lvlJc w:val="left"/>
      <w:pPr>
        <w:ind w:left="2880" w:hanging="360"/>
      </w:pPr>
    </w:lvl>
    <w:lvl w:ilvl="4" w:tplc="4FBC30C2">
      <w:start w:val="1"/>
      <w:numFmt w:val="lowerLetter"/>
      <w:lvlText w:val="%5."/>
      <w:lvlJc w:val="left"/>
      <w:pPr>
        <w:ind w:left="3600" w:hanging="360"/>
      </w:pPr>
    </w:lvl>
    <w:lvl w:ilvl="5" w:tplc="0EBA3E08">
      <w:start w:val="1"/>
      <w:numFmt w:val="lowerRoman"/>
      <w:lvlText w:val="%6."/>
      <w:lvlJc w:val="right"/>
      <w:pPr>
        <w:ind w:left="4320" w:hanging="180"/>
      </w:pPr>
    </w:lvl>
    <w:lvl w:ilvl="6" w:tplc="04104D4C">
      <w:start w:val="1"/>
      <w:numFmt w:val="decimal"/>
      <w:lvlText w:val="%7."/>
      <w:lvlJc w:val="left"/>
      <w:pPr>
        <w:ind w:left="5040" w:hanging="360"/>
      </w:pPr>
    </w:lvl>
    <w:lvl w:ilvl="7" w:tplc="E33AB6E2">
      <w:start w:val="1"/>
      <w:numFmt w:val="lowerLetter"/>
      <w:lvlText w:val="%8."/>
      <w:lvlJc w:val="left"/>
      <w:pPr>
        <w:ind w:left="5760" w:hanging="360"/>
      </w:pPr>
    </w:lvl>
    <w:lvl w:ilvl="8" w:tplc="69C6321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 w:tplc="1C0EAE38">
      <w:start w:val="1"/>
      <w:numFmt w:val="decimal"/>
      <w:lvlText w:val="%1."/>
      <w:lvlJc w:val="left"/>
      <w:pPr>
        <w:ind w:left="720" w:hanging="360"/>
      </w:pPr>
    </w:lvl>
    <w:lvl w:ilvl="1" w:tplc="0BAADB4A">
      <w:start w:val="1"/>
      <w:numFmt w:val="lowerLetter"/>
      <w:lvlText w:val="%2."/>
      <w:lvlJc w:val="left"/>
      <w:pPr>
        <w:ind w:left="1440" w:hanging="360"/>
      </w:pPr>
    </w:lvl>
    <w:lvl w:ilvl="2" w:tplc="5DECB93A">
      <w:start w:val="1"/>
      <w:numFmt w:val="lowerRoman"/>
      <w:lvlText w:val="%3."/>
      <w:lvlJc w:val="right"/>
      <w:pPr>
        <w:ind w:left="2160" w:hanging="180"/>
      </w:pPr>
    </w:lvl>
    <w:lvl w:ilvl="3" w:tplc="9B28DAC0">
      <w:start w:val="1"/>
      <w:numFmt w:val="decimal"/>
      <w:lvlText w:val="%4."/>
      <w:lvlJc w:val="left"/>
      <w:pPr>
        <w:ind w:left="2880" w:hanging="360"/>
      </w:pPr>
    </w:lvl>
    <w:lvl w:ilvl="4" w:tplc="76BEE54A">
      <w:start w:val="1"/>
      <w:numFmt w:val="lowerLetter"/>
      <w:lvlText w:val="%5."/>
      <w:lvlJc w:val="left"/>
      <w:pPr>
        <w:ind w:left="3600" w:hanging="360"/>
      </w:pPr>
    </w:lvl>
    <w:lvl w:ilvl="5" w:tplc="EE9C90E2">
      <w:start w:val="1"/>
      <w:numFmt w:val="lowerRoman"/>
      <w:lvlText w:val="%6."/>
      <w:lvlJc w:val="right"/>
      <w:pPr>
        <w:ind w:left="4320" w:hanging="180"/>
      </w:pPr>
    </w:lvl>
    <w:lvl w:ilvl="6" w:tplc="A2F41D14">
      <w:start w:val="1"/>
      <w:numFmt w:val="decimal"/>
      <w:lvlText w:val="%7."/>
      <w:lvlJc w:val="left"/>
      <w:pPr>
        <w:ind w:left="5040" w:hanging="360"/>
      </w:pPr>
    </w:lvl>
    <w:lvl w:ilvl="7" w:tplc="C7AEF906">
      <w:start w:val="1"/>
      <w:numFmt w:val="lowerLetter"/>
      <w:lvlText w:val="%8."/>
      <w:lvlJc w:val="left"/>
      <w:pPr>
        <w:ind w:left="5760" w:hanging="360"/>
      </w:pPr>
    </w:lvl>
    <w:lvl w:ilvl="8" w:tplc="EE2A718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 w:tplc="8EE46234">
      <w:start w:val="1"/>
      <w:numFmt w:val="decimal"/>
      <w:lvlText w:val="%1."/>
      <w:lvlJc w:val="left"/>
      <w:pPr>
        <w:ind w:left="720" w:hanging="360"/>
      </w:pPr>
    </w:lvl>
    <w:lvl w:ilvl="1" w:tplc="BE72D1E6">
      <w:start w:val="1"/>
      <w:numFmt w:val="lowerLetter"/>
      <w:lvlText w:val="%2."/>
      <w:lvlJc w:val="left"/>
      <w:pPr>
        <w:ind w:left="1440" w:hanging="360"/>
      </w:pPr>
    </w:lvl>
    <w:lvl w:ilvl="2" w:tplc="FD14874A">
      <w:start w:val="1"/>
      <w:numFmt w:val="lowerRoman"/>
      <w:lvlText w:val="%3."/>
      <w:lvlJc w:val="right"/>
      <w:pPr>
        <w:ind w:left="2160" w:hanging="180"/>
      </w:pPr>
    </w:lvl>
    <w:lvl w:ilvl="3" w:tplc="A7A8441E">
      <w:start w:val="1"/>
      <w:numFmt w:val="decimal"/>
      <w:lvlText w:val="%4."/>
      <w:lvlJc w:val="left"/>
      <w:pPr>
        <w:ind w:left="2880" w:hanging="360"/>
      </w:pPr>
    </w:lvl>
    <w:lvl w:ilvl="4" w:tplc="C4EACB14">
      <w:start w:val="1"/>
      <w:numFmt w:val="lowerLetter"/>
      <w:lvlText w:val="%5."/>
      <w:lvlJc w:val="left"/>
      <w:pPr>
        <w:ind w:left="3600" w:hanging="360"/>
      </w:pPr>
    </w:lvl>
    <w:lvl w:ilvl="5" w:tplc="79008864">
      <w:start w:val="1"/>
      <w:numFmt w:val="lowerRoman"/>
      <w:lvlText w:val="%6."/>
      <w:lvlJc w:val="right"/>
      <w:pPr>
        <w:ind w:left="4320" w:hanging="180"/>
      </w:pPr>
    </w:lvl>
    <w:lvl w:ilvl="6" w:tplc="FD8478B6">
      <w:start w:val="1"/>
      <w:numFmt w:val="decimal"/>
      <w:lvlText w:val="%7."/>
      <w:lvlJc w:val="left"/>
      <w:pPr>
        <w:ind w:left="5040" w:hanging="360"/>
      </w:pPr>
    </w:lvl>
    <w:lvl w:ilvl="7" w:tplc="76FE88CE">
      <w:start w:val="1"/>
      <w:numFmt w:val="lowerLetter"/>
      <w:lvlText w:val="%8."/>
      <w:lvlJc w:val="left"/>
      <w:pPr>
        <w:ind w:left="5760" w:hanging="360"/>
      </w:pPr>
    </w:lvl>
    <w:lvl w:ilvl="8" w:tplc="D0EC7E42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 w:tplc="59A23360">
      <w:start w:val="114"/>
      <w:numFmt w:val="decimal"/>
      <w:lvlText w:val="%1"/>
      <w:lvlJc w:val="left"/>
      <w:pPr>
        <w:tabs>
          <w:tab w:val="num" w:pos="2412"/>
        </w:tabs>
        <w:ind w:left="2412" w:hanging="1095"/>
      </w:pPr>
      <w:rPr>
        <w:rFonts w:hint="default"/>
      </w:rPr>
    </w:lvl>
    <w:lvl w:ilvl="1" w:tplc="484AA854">
      <w:start w:val="1"/>
      <w:numFmt w:val="lowerLetter"/>
      <w:lvlText w:val="%2."/>
      <w:lvlJc w:val="left"/>
      <w:pPr>
        <w:tabs>
          <w:tab w:val="num" w:pos="2397"/>
        </w:tabs>
        <w:ind w:left="2397" w:hanging="360"/>
      </w:pPr>
    </w:lvl>
    <w:lvl w:ilvl="2" w:tplc="4D366FAA">
      <w:start w:val="1"/>
      <w:numFmt w:val="lowerRoman"/>
      <w:lvlText w:val="%3."/>
      <w:lvlJc w:val="right"/>
      <w:pPr>
        <w:tabs>
          <w:tab w:val="num" w:pos="3117"/>
        </w:tabs>
        <w:ind w:left="3117" w:hanging="180"/>
      </w:pPr>
    </w:lvl>
    <w:lvl w:ilvl="3" w:tplc="6110333A">
      <w:start w:val="1"/>
      <w:numFmt w:val="decimal"/>
      <w:lvlText w:val="%4."/>
      <w:lvlJc w:val="left"/>
      <w:pPr>
        <w:tabs>
          <w:tab w:val="num" w:pos="3837"/>
        </w:tabs>
        <w:ind w:left="3837" w:hanging="360"/>
      </w:pPr>
    </w:lvl>
    <w:lvl w:ilvl="4" w:tplc="83A013E4">
      <w:start w:val="1"/>
      <w:numFmt w:val="lowerLetter"/>
      <w:lvlText w:val="%5."/>
      <w:lvlJc w:val="left"/>
      <w:pPr>
        <w:tabs>
          <w:tab w:val="num" w:pos="4557"/>
        </w:tabs>
        <w:ind w:left="4557" w:hanging="360"/>
      </w:pPr>
    </w:lvl>
    <w:lvl w:ilvl="5" w:tplc="85B03FC2">
      <w:start w:val="1"/>
      <w:numFmt w:val="lowerRoman"/>
      <w:lvlText w:val="%6."/>
      <w:lvlJc w:val="right"/>
      <w:pPr>
        <w:tabs>
          <w:tab w:val="num" w:pos="5277"/>
        </w:tabs>
        <w:ind w:left="5277" w:hanging="180"/>
      </w:pPr>
    </w:lvl>
    <w:lvl w:ilvl="6" w:tplc="6EA29F2E">
      <w:start w:val="1"/>
      <w:numFmt w:val="decimal"/>
      <w:lvlText w:val="%7."/>
      <w:lvlJc w:val="left"/>
      <w:pPr>
        <w:tabs>
          <w:tab w:val="num" w:pos="5997"/>
        </w:tabs>
        <w:ind w:left="5997" w:hanging="360"/>
      </w:pPr>
    </w:lvl>
    <w:lvl w:ilvl="7" w:tplc="49386942">
      <w:start w:val="1"/>
      <w:numFmt w:val="lowerLetter"/>
      <w:lvlText w:val="%8."/>
      <w:lvlJc w:val="left"/>
      <w:pPr>
        <w:tabs>
          <w:tab w:val="num" w:pos="6717"/>
        </w:tabs>
        <w:ind w:left="6717" w:hanging="360"/>
      </w:pPr>
    </w:lvl>
    <w:lvl w:ilvl="8" w:tplc="7638A226">
      <w:start w:val="1"/>
      <w:numFmt w:val="lowerRoman"/>
      <w:lvlText w:val="%9."/>
      <w:lvlJc w:val="right"/>
      <w:pPr>
        <w:tabs>
          <w:tab w:val="num" w:pos="7437"/>
        </w:tabs>
        <w:ind w:left="7437" w:hanging="180"/>
      </w:pPr>
    </w:lvl>
  </w:abstractNum>
  <w:abstractNum w:abstractNumId="9">
    <w:multiLevelType w:val="hybridMultilevel"/>
    <w:lvl w:ilvl="0" w:tplc="32F085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744D90C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6052A0B0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FC2F076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72685C22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1F04B66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7685CE4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9F697B8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DAC2E1E2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>
    <w:multiLevelType w:val="hybridMultilevel"/>
    <w:lvl w:ilvl="0" w:tplc="2CB8E9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D6C015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9C80858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CC927B3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5218DD6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90A02F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ECF64FC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B78ADACE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9C38A67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 w:tplc="69CAD6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A5811CE">
      <w:start w:val="1"/>
      <w:numFmt w:val="lowerLetter"/>
      <w:lvlText w:val="%2."/>
      <w:lvlJc w:val="left"/>
      <w:pPr>
        <w:ind w:left="1080" w:hanging="360"/>
      </w:pPr>
    </w:lvl>
    <w:lvl w:ilvl="2" w:tplc="7A50BF0A">
      <w:start w:val="1"/>
      <w:numFmt w:val="lowerRoman"/>
      <w:lvlText w:val="%3."/>
      <w:lvlJc w:val="right"/>
      <w:pPr>
        <w:ind w:left="1800" w:hanging="180"/>
      </w:pPr>
    </w:lvl>
    <w:lvl w:ilvl="3" w:tplc="713C9CDA">
      <w:start w:val="1"/>
      <w:numFmt w:val="decimal"/>
      <w:lvlText w:val="%4."/>
      <w:lvlJc w:val="left"/>
      <w:pPr>
        <w:ind w:left="2520" w:hanging="360"/>
      </w:pPr>
    </w:lvl>
    <w:lvl w:ilvl="4" w:tplc="CE10F3A2">
      <w:start w:val="1"/>
      <w:numFmt w:val="lowerLetter"/>
      <w:lvlText w:val="%5."/>
      <w:lvlJc w:val="left"/>
      <w:pPr>
        <w:ind w:left="3240" w:hanging="360"/>
      </w:pPr>
    </w:lvl>
    <w:lvl w:ilvl="5" w:tplc="291C59A0">
      <w:start w:val="1"/>
      <w:numFmt w:val="lowerRoman"/>
      <w:lvlText w:val="%6."/>
      <w:lvlJc w:val="right"/>
      <w:pPr>
        <w:ind w:left="3960" w:hanging="180"/>
      </w:pPr>
    </w:lvl>
    <w:lvl w:ilvl="6" w:tplc="D3ACF418">
      <w:start w:val="1"/>
      <w:numFmt w:val="decimal"/>
      <w:lvlText w:val="%7."/>
      <w:lvlJc w:val="left"/>
      <w:pPr>
        <w:ind w:left="4680" w:hanging="360"/>
      </w:pPr>
    </w:lvl>
    <w:lvl w:ilvl="7" w:tplc="F5D44B70">
      <w:start w:val="1"/>
      <w:numFmt w:val="lowerLetter"/>
      <w:lvlText w:val="%8."/>
      <w:lvlJc w:val="left"/>
      <w:pPr>
        <w:ind w:left="5400" w:hanging="360"/>
      </w:pPr>
    </w:lvl>
    <w:lvl w:ilvl="8" w:tplc="8994928E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multiLevelType w:val="hybridMultilevel"/>
    <w:lvl w:ilvl="0" w:tplc="28DA978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8CAC193E">
      <w:start w:val="1"/>
      <w:numFmt w:val="lowerLetter"/>
      <w:lvlText w:val="%2."/>
      <w:lvlJc w:val="left"/>
      <w:pPr>
        <w:ind w:left="1647" w:hanging="360"/>
      </w:pPr>
    </w:lvl>
    <w:lvl w:ilvl="2" w:tplc="AFACD7AA">
      <w:start w:val="1"/>
      <w:numFmt w:val="lowerRoman"/>
      <w:lvlText w:val="%3."/>
      <w:lvlJc w:val="right"/>
      <w:pPr>
        <w:ind w:left="2367" w:hanging="180"/>
      </w:pPr>
    </w:lvl>
    <w:lvl w:ilvl="3" w:tplc="361A131E">
      <w:start w:val="1"/>
      <w:numFmt w:val="decimal"/>
      <w:lvlText w:val="%4."/>
      <w:lvlJc w:val="left"/>
      <w:pPr>
        <w:ind w:left="3087" w:hanging="360"/>
      </w:pPr>
    </w:lvl>
    <w:lvl w:ilvl="4" w:tplc="C142BC6E">
      <w:start w:val="1"/>
      <w:numFmt w:val="lowerLetter"/>
      <w:lvlText w:val="%5."/>
      <w:lvlJc w:val="left"/>
      <w:pPr>
        <w:ind w:left="3807" w:hanging="360"/>
      </w:pPr>
    </w:lvl>
    <w:lvl w:ilvl="5" w:tplc="6E8C8C18">
      <w:start w:val="1"/>
      <w:numFmt w:val="lowerRoman"/>
      <w:lvlText w:val="%6."/>
      <w:lvlJc w:val="right"/>
      <w:pPr>
        <w:ind w:left="4527" w:hanging="180"/>
      </w:pPr>
    </w:lvl>
    <w:lvl w:ilvl="6" w:tplc="110660A0">
      <w:start w:val="1"/>
      <w:numFmt w:val="decimal"/>
      <w:lvlText w:val="%7."/>
      <w:lvlJc w:val="left"/>
      <w:pPr>
        <w:ind w:left="5247" w:hanging="360"/>
      </w:pPr>
    </w:lvl>
    <w:lvl w:ilvl="7" w:tplc="6F800024">
      <w:start w:val="1"/>
      <w:numFmt w:val="lowerLetter"/>
      <w:lvlText w:val="%8."/>
      <w:lvlJc w:val="left"/>
      <w:pPr>
        <w:ind w:left="5967" w:hanging="360"/>
      </w:pPr>
    </w:lvl>
    <w:lvl w:ilvl="8" w:tplc="DBDAF9B8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multiLevelType w:val="hybridMultilevel"/>
    <w:lvl w:ilvl="0" w:tplc="CFB4C062">
      <w:start w:val="1"/>
      <w:numFmt w:val="decimal"/>
      <w:lvlText w:val="%1)"/>
      <w:lvlJc w:val="left"/>
      <w:pPr>
        <w:ind w:left="1542" w:hanging="975"/>
      </w:pPr>
      <w:rPr>
        <w:rFonts w:hint="default"/>
      </w:rPr>
    </w:lvl>
    <w:lvl w:ilvl="1" w:tplc="0906678C">
      <w:start w:val="1"/>
      <w:numFmt w:val="lowerLetter"/>
      <w:lvlText w:val="%2."/>
      <w:lvlJc w:val="left"/>
      <w:pPr>
        <w:ind w:left="1647" w:hanging="360"/>
      </w:pPr>
    </w:lvl>
    <w:lvl w:ilvl="2" w:tplc="FD4283A2">
      <w:start w:val="1"/>
      <w:numFmt w:val="lowerRoman"/>
      <w:lvlText w:val="%3."/>
      <w:lvlJc w:val="right"/>
      <w:pPr>
        <w:ind w:left="2367" w:hanging="180"/>
      </w:pPr>
    </w:lvl>
    <w:lvl w:ilvl="3" w:tplc="77B28696">
      <w:start w:val="1"/>
      <w:numFmt w:val="decimal"/>
      <w:lvlText w:val="%4."/>
      <w:lvlJc w:val="left"/>
      <w:pPr>
        <w:ind w:left="3087" w:hanging="360"/>
      </w:pPr>
    </w:lvl>
    <w:lvl w:ilvl="4" w:tplc="BC628DAA">
      <w:start w:val="1"/>
      <w:numFmt w:val="lowerLetter"/>
      <w:lvlText w:val="%5."/>
      <w:lvlJc w:val="left"/>
      <w:pPr>
        <w:ind w:left="3807" w:hanging="360"/>
      </w:pPr>
    </w:lvl>
    <w:lvl w:ilvl="5" w:tplc="59A8DF38">
      <w:start w:val="1"/>
      <w:numFmt w:val="lowerRoman"/>
      <w:lvlText w:val="%6."/>
      <w:lvlJc w:val="right"/>
      <w:pPr>
        <w:ind w:left="4527" w:hanging="180"/>
      </w:pPr>
    </w:lvl>
    <w:lvl w:ilvl="6" w:tplc="EF007C10">
      <w:start w:val="1"/>
      <w:numFmt w:val="decimal"/>
      <w:lvlText w:val="%7."/>
      <w:lvlJc w:val="left"/>
      <w:pPr>
        <w:ind w:left="5247" w:hanging="360"/>
      </w:pPr>
    </w:lvl>
    <w:lvl w:ilvl="7" w:tplc="10643B56">
      <w:start w:val="1"/>
      <w:numFmt w:val="lowerLetter"/>
      <w:lvlText w:val="%8."/>
      <w:lvlJc w:val="left"/>
      <w:pPr>
        <w:ind w:left="5967" w:hanging="360"/>
      </w:pPr>
    </w:lvl>
    <w:lvl w:ilvl="8" w:tplc="B62AF074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multiLevelType w:val="hybridMultilevel"/>
    <w:lvl w:ilvl="0" w:tplc="8CDAEE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789" w:hanging="360"/>
      </w:pPr>
    </w:lvl>
    <w:lvl w:ilvl="2" w:tentative="1" w:tplc="0419001B">
      <w:start w:val="1"/>
      <w:numFmt w:val="lowerRoman"/>
      <w:lvlText w:val="%3."/>
      <w:lvlJc w:val="right"/>
      <w:pPr>
        <w:ind w:left="2509" w:hanging="180"/>
      </w:pPr>
    </w:lvl>
    <w:lvl w:ilvl="3" w:tentative="1" w:tplc="0419000F">
      <w:start w:val="1"/>
      <w:numFmt w:val="decimal"/>
      <w:lvlText w:val="%4."/>
      <w:lvlJc w:val="left"/>
      <w:pPr>
        <w:ind w:left="3229" w:hanging="360"/>
      </w:pPr>
    </w:lvl>
    <w:lvl w:ilvl="4" w:tentative="1" w:tplc="04190019">
      <w:start w:val="1"/>
      <w:numFmt w:val="lowerLetter"/>
      <w:lvlText w:val="%5."/>
      <w:lvlJc w:val="left"/>
      <w:pPr>
        <w:ind w:left="3949" w:hanging="360"/>
      </w:pPr>
    </w:lvl>
    <w:lvl w:ilvl="5" w:tentative="1" w:tplc="0419001B">
      <w:start w:val="1"/>
      <w:numFmt w:val="lowerRoman"/>
      <w:lvlText w:val="%6."/>
      <w:lvlJc w:val="right"/>
      <w:pPr>
        <w:ind w:left="4669" w:hanging="180"/>
      </w:pPr>
    </w:lvl>
    <w:lvl w:ilvl="6" w:tentative="1" w:tplc="0419000F">
      <w:start w:val="1"/>
      <w:numFmt w:val="decimal"/>
      <w:lvlText w:val="%7."/>
      <w:lvlJc w:val="left"/>
      <w:pPr>
        <w:ind w:left="5389" w:hanging="360"/>
      </w:pPr>
    </w:lvl>
    <w:lvl w:ilvl="7" w:tentative="1" w:tplc="04190019">
      <w:start w:val="1"/>
      <w:numFmt w:val="lowerLetter"/>
      <w:lvlText w:val="%8."/>
      <w:lvlJc w:val="left"/>
      <w:pPr>
        <w:ind w:left="6109" w:hanging="360"/>
      </w:pPr>
    </w:lvl>
    <w:lvl w:ilvl="8" w:tentative="1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 w:tplc="3DD0CB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48C5EB4">
      <w:start w:val="1"/>
      <w:numFmt w:val="lowerLetter"/>
      <w:lvlText w:val="%2."/>
      <w:lvlJc w:val="left"/>
      <w:pPr>
        <w:ind w:left="1789" w:hanging="360"/>
      </w:pPr>
    </w:lvl>
    <w:lvl w:ilvl="2" w:tplc="B83C8396">
      <w:start w:val="1"/>
      <w:numFmt w:val="lowerRoman"/>
      <w:lvlText w:val="%3."/>
      <w:lvlJc w:val="right"/>
      <w:pPr>
        <w:ind w:left="2509" w:hanging="180"/>
      </w:pPr>
    </w:lvl>
    <w:lvl w:ilvl="3" w:tplc="7C9269F0">
      <w:start w:val="1"/>
      <w:numFmt w:val="decimal"/>
      <w:lvlText w:val="%4."/>
      <w:lvlJc w:val="left"/>
      <w:pPr>
        <w:ind w:left="3229" w:hanging="360"/>
      </w:pPr>
    </w:lvl>
    <w:lvl w:ilvl="4" w:tplc="72943A90">
      <w:start w:val="1"/>
      <w:numFmt w:val="lowerLetter"/>
      <w:lvlText w:val="%5."/>
      <w:lvlJc w:val="left"/>
      <w:pPr>
        <w:ind w:left="3949" w:hanging="360"/>
      </w:pPr>
    </w:lvl>
    <w:lvl w:ilvl="5" w:tplc="16425496">
      <w:start w:val="1"/>
      <w:numFmt w:val="lowerRoman"/>
      <w:lvlText w:val="%6."/>
      <w:lvlJc w:val="right"/>
      <w:pPr>
        <w:ind w:left="4669" w:hanging="180"/>
      </w:pPr>
    </w:lvl>
    <w:lvl w:ilvl="6" w:tplc="765C413A">
      <w:start w:val="1"/>
      <w:numFmt w:val="decimal"/>
      <w:lvlText w:val="%7."/>
      <w:lvlJc w:val="left"/>
      <w:pPr>
        <w:ind w:left="5389" w:hanging="360"/>
      </w:pPr>
    </w:lvl>
    <w:lvl w:ilvl="7" w:tplc="AF9ED51A">
      <w:start w:val="1"/>
      <w:numFmt w:val="lowerLetter"/>
      <w:lvlText w:val="%8."/>
      <w:lvlJc w:val="left"/>
      <w:pPr>
        <w:ind w:left="6109" w:hanging="360"/>
      </w:pPr>
    </w:lvl>
    <w:lvl w:ilvl="8" w:tplc="F744839C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multiLevelType w:val="hybridMultilevel"/>
    <w:lvl w:ilvl="0" w:tplc="46580F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780A18">
      <w:start w:val="1"/>
      <w:numFmt w:val="lowerLetter"/>
      <w:lvlText w:val="%2."/>
      <w:lvlJc w:val="left"/>
      <w:pPr>
        <w:ind w:left="1440" w:hanging="360"/>
      </w:pPr>
    </w:lvl>
    <w:lvl w:ilvl="2" w:tplc="9A82F5F6">
      <w:start w:val="1"/>
      <w:numFmt w:val="lowerRoman"/>
      <w:lvlText w:val="%3."/>
      <w:lvlJc w:val="right"/>
      <w:pPr>
        <w:ind w:left="2160" w:hanging="180"/>
      </w:pPr>
    </w:lvl>
    <w:lvl w:ilvl="3" w:tplc="9BB4BFC8">
      <w:start w:val="1"/>
      <w:numFmt w:val="decimal"/>
      <w:lvlText w:val="%4."/>
      <w:lvlJc w:val="left"/>
      <w:pPr>
        <w:ind w:left="2880" w:hanging="360"/>
      </w:pPr>
    </w:lvl>
    <w:lvl w:ilvl="4" w:tplc="E18C6E76">
      <w:start w:val="1"/>
      <w:numFmt w:val="lowerLetter"/>
      <w:lvlText w:val="%5."/>
      <w:lvlJc w:val="left"/>
      <w:pPr>
        <w:ind w:left="3600" w:hanging="360"/>
      </w:pPr>
    </w:lvl>
    <w:lvl w:ilvl="5" w:tplc="150A9AB0">
      <w:start w:val="1"/>
      <w:numFmt w:val="lowerRoman"/>
      <w:lvlText w:val="%6."/>
      <w:lvlJc w:val="right"/>
      <w:pPr>
        <w:ind w:left="4320" w:hanging="180"/>
      </w:pPr>
    </w:lvl>
    <w:lvl w:ilvl="6" w:tplc="D598ADCA">
      <w:start w:val="1"/>
      <w:numFmt w:val="decimal"/>
      <w:lvlText w:val="%7."/>
      <w:lvlJc w:val="left"/>
      <w:pPr>
        <w:ind w:left="5040" w:hanging="360"/>
      </w:pPr>
    </w:lvl>
    <w:lvl w:ilvl="7" w:tplc="9732D554">
      <w:start w:val="1"/>
      <w:numFmt w:val="lowerLetter"/>
      <w:lvlText w:val="%8."/>
      <w:lvlJc w:val="left"/>
      <w:pPr>
        <w:ind w:left="5760" w:hanging="360"/>
      </w:pPr>
    </w:lvl>
    <w:lvl w:ilvl="8" w:tplc="8E7CA10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 w:tplc="B0A8C5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7F5A407C">
      <w:start w:val="1"/>
      <w:numFmt w:val="lowerLetter"/>
      <w:lvlText w:val="%2."/>
      <w:lvlJc w:val="left"/>
      <w:pPr>
        <w:ind w:left="1440" w:hanging="360"/>
      </w:pPr>
    </w:lvl>
    <w:lvl w:ilvl="2" w:tplc="3348B894">
      <w:start w:val="1"/>
      <w:numFmt w:val="lowerRoman"/>
      <w:lvlText w:val="%3."/>
      <w:lvlJc w:val="right"/>
      <w:pPr>
        <w:ind w:left="2160" w:hanging="180"/>
      </w:pPr>
    </w:lvl>
    <w:lvl w:ilvl="3" w:tplc="A0C64F78">
      <w:start w:val="1"/>
      <w:numFmt w:val="decimal"/>
      <w:lvlText w:val="%4."/>
      <w:lvlJc w:val="left"/>
      <w:pPr>
        <w:ind w:left="2880" w:hanging="360"/>
      </w:pPr>
    </w:lvl>
    <w:lvl w:ilvl="4" w:tplc="2AEAB692">
      <w:start w:val="1"/>
      <w:numFmt w:val="lowerLetter"/>
      <w:lvlText w:val="%5."/>
      <w:lvlJc w:val="left"/>
      <w:pPr>
        <w:ind w:left="3600" w:hanging="360"/>
      </w:pPr>
    </w:lvl>
    <w:lvl w:ilvl="5" w:tplc="89146FF4">
      <w:start w:val="1"/>
      <w:numFmt w:val="lowerRoman"/>
      <w:lvlText w:val="%6."/>
      <w:lvlJc w:val="right"/>
      <w:pPr>
        <w:ind w:left="4320" w:hanging="180"/>
      </w:pPr>
    </w:lvl>
    <w:lvl w:ilvl="6" w:tplc="83249E72">
      <w:start w:val="1"/>
      <w:numFmt w:val="decimal"/>
      <w:lvlText w:val="%7."/>
      <w:lvlJc w:val="left"/>
      <w:pPr>
        <w:ind w:left="5040" w:hanging="360"/>
      </w:pPr>
    </w:lvl>
    <w:lvl w:ilvl="7" w:tplc="001CAB86">
      <w:start w:val="1"/>
      <w:numFmt w:val="lowerLetter"/>
      <w:lvlText w:val="%8."/>
      <w:lvlJc w:val="left"/>
      <w:pPr>
        <w:ind w:left="5760" w:hanging="360"/>
      </w:pPr>
    </w:lvl>
    <w:lvl w:ilvl="8" w:tplc="E388654C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 w:tplc="C18C97C8">
      <w:start w:val="1"/>
      <w:numFmt w:val="decimal"/>
      <w:lvlText w:val="%1."/>
      <w:lvlJc w:val="left"/>
      <w:pPr>
        <w:ind w:left="1069" w:hanging="360"/>
      </w:pPr>
      <w:rPr>
        <w:rFonts w:hint="default" w:ascii="Times New Roman" w:hAnsi="Times New Roman" w:cs="Times New Roman"/>
        <w:sz w:val="24"/>
        <w:szCs w:val="28"/>
      </w:rPr>
    </w:lvl>
    <w:lvl w:ilvl="1" w:tplc="3F5CFD8A">
      <w:start w:val="1"/>
      <w:numFmt w:val="lowerLetter"/>
      <w:lvlText w:val="%2."/>
      <w:lvlJc w:val="left"/>
      <w:pPr>
        <w:ind w:left="1789" w:hanging="360"/>
      </w:pPr>
    </w:lvl>
    <w:lvl w:ilvl="2" w:tplc="62EA4AE4">
      <w:start w:val="1"/>
      <w:numFmt w:val="lowerRoman"/>
      <w:lvlText w:val="%3."/>
      <w:lvlJc w:val="right"/>
      <w:pPr>
        <w:ind w:left="2509" w:hanging="180"/>
      </w:pPr>
    </w:lvl>
    <w:lvl w:ilvl="3" w:tplc="73F86344">
      <w:start w:val="1"/>
      <w:numFmt w:val="decimal"/>
      <w:lvlText w:val="%4."/>
      <w:lvlJc w:val="left"/>
      <w:pPr>
        <w:ind w:left="3229" w:hanging="360"/>
      </w:pPr>
    </w:lvl>
    <w:lvl w:ilvl="4" w:tplc="AF6A2646">
      <w:start w:val="1"/>
      <w:numFmt w:val="lowerLetter"/>
      <w:lvlText w:val="%5."/>
      <w:lvlJc w:val="left"/>
      <w:pPr>
        <w:ind w:left="3949" w:hanging="360"/>
      </w:pPr>
    </w:lvl>
    <w:lvl w:ilvl="5" w:tplc="B9A211B8">
      <w:start w:val="1"/>
      <w:numFmt w:val="lowerRoman"/>
      <w:lvlText w:val="%6."/>
      <w:lvlJc w:val="right"/>
      <w:pPr>
        <w:ind w:left="4669" w:hanging="180"/>
      </w:pPr>
    </w:lvl>
    <w:lvl w:ilvl="6" w:tplc="1952E6B2">
      <w:start w:val="1"/>
      <w:numFmt w:val="decimal"/>
      <w:lvlText w:val="%7."/>
      <w:lvlJc w:val="left"/>
      <w:pPr>
        <w:ind w:left="5389" w:hanging="360"/>
      </w:pPr>
    </w:lvl>
    <w:lvl w:ilvl="7" w:tplc="EACC27DC">
      <w:start w:val="1"/>
      <w:numFmt w:val="lowerLetter"/>
      <w:lvlText w:val="%8."/>
      <w:lvlJc w:val="left"/>
      <w:pPr>
        <w:ind w:left="6109" w:hanging="360"/>
      </w:pPr>
    </w:lvl>
    <w:lvl w:ilvl="8" w:tplc="72AC8F44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0">
    <w:multiLevelType w:val="hybridMultilevel"/>
    <w:lvl w:ilvl="0" w:tplc="6C92B13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5E0443E">
      <w:start w:val="1"/>
      <w:numFmt w:val="lowerLetter"/>
      <w:lvlText w:val="%2."/>
      <w:lvlJc w:val="left"/>
      <w:pPr>
        <w:ind w:left="1440" w:hanging="360"/>
      </w:pPr>
    </w:lvl>
    <w:lvl w:ilvl="2" w:tplc="74D22CE0">
      <w:start w:val="1"/>
      <w:numFmt w:val="lowerRoman"/>
      <w:lvlText w:val="%3."/>
      <w:lvlJc w:val="right"/>
      <w:pPr>
        <w:ind w:left="2160" w:hanging="180"/>
      </w:pPr>
    </w:lvl>
    <w:lvl w:ilvl="3" w:tplc="15DAC7E0">
      <w:start w:val="1"/>
      <w:numFmt w:val="decimal"/>
      <w:lvlText w:val="%4."/>
      <w:lvlJc w:val="left"/>
      <w:pPr>
        <w:ind w:left="2880" w:hanging="360"/>
      </w:pPr>
    </w:lvl>
    <w:lvl w:ilvl="4" w:tplc="57C0CDB6">
      <w:start w:val="1"/>
      <w:numFmt w:val="lowerLetter"/>
      <w:lvlText w:val="%5."/>
      <w:lvlJc w:val="left"/>
      <w:pPr>
        <w:ind w:left="3600" w:hanging="360"/>
      </w:pPr>
    </w:lvl>
    <w:lvl w:ilvl="5" w:tplc="669E5138">
      <w:start w:val="1"/>
      <w:numFmt w:val="lowerRoman"/>
      <w:lvlText w:val="%6."/>
      <w:lvlJc w:val="right"/>
      <w:pPr>
        <w:ind w:left="4320" w:hanging="180"/>
      </w:pPr>
    </w:lvl>
    <w:lvl w:ilvl="6" w:tplc="4B8827F2">
      <w:start w:val="1"/>
      <w:numFmt w:val="decimal"/>
      <w:lvlText w:val="%7."/>
      <w:lvlJc w:val="left"/>
      <w:pPr>
        <w:ind w:left="5040" w:hanging="360"/>
      </w:pPr>
    </w:lvl>
    <w:lvl w:ilvl="7" w:tplc="DD24403E">
      <w:start w:val="1"/>
      <w:numFmt w:val="lowerLetter"/>
      <w:lvlText w:val="%8."/>
      <w:lvlJc w:val="left"/>
      <w:pPr>
        <w:ind w:left="5760" w:hanging="360"/>
      </w:pPr>
    </w:lvl>
    <w:lvl w:ilvl="8" w:tplc="F98052C6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 w:tplc="E90AAC46">
      <w:start w:val="1"/>
      <w:numFmt w:val="decimal"/>
      <w:lvlText w:val="%1."/>
      <w:lvlJc w:val="left"/>
      <w:pPr>
        <w:ind w:left="927" w:hanging="360"/>
      </w:pPr>
      <w:rPr>
        <w:rFonts w:hint="default" w:eastAsia="Times New Roman"/>
        <w:b w:val="0"/>
        <w:sz w:val="24"/>
      </w:rPr>
    </w:lvl>
    <w:lvl w:ilvl="1" w:tplc="96AA80B4">
      <w:start w:val="1"/>
      <w:numFmt w:val="lowerLetter"/>
      <w:lvlText w:val="%2."/>
      <w:lvlJc w:val="left"/>
      <w:pPr>
        <w:ind w:left="1647" w:hanging="360"/>
      </w:pPr>
    </w:lvl>
    <w:lvl w:ilvl="2" w:tplc="19BE08A8">
      <w:start w:val="1"/>
      <w:numFmt w:val="lowerRoman"/>
      <w:lvlText w:val="%3."/>
      <w:lvlJc w:val="right"/>
      <w:pPr>
        <w:ind w:left="2367" w:hanging="180"/>
      </w:pPr>
    </w:lvl>
    <w:lvl w:ilvl="3" w:tplc="8758A6F4">
      <w:start w:val="1"/>
      <w:numFmt w:val="decimal"/>
      <w:lvlText w:val="%4."/>
      <w:lvlJc w:val="left"/>
      <w:pPr>
        <w:ind w:left="3087" w:hanging="360"/>
      </w:pPr>
    </w:lvl>
    <w:lvl w:ilvl="4" w:tplc="6D54B692">
      <w:start w:val="1"/>
      <w:numFmt w:val="lowerLetter"/>
      <w:lvlText w:val="%5."/>
      <w:lvlJc w:val="left"/>
      <w:pPr>
        <w:ind w:left="3807" w:hanging="360"/>
      </w:pPr>
    </w:lvl>
    <w:lvl w:ilvl="5" w:tplc="A6BE3070">
      <w:start w:val="1"/>
      <w:numFmt w:val="lowerRoman"/>
      <w:lvlText w:val="%6."/>
      <w:lvlJc w:val="right"/>
      <w:pPr>
        <w:ind w:left="4527" w:hanging="180"/>
      </w:pPr>
    </w:lvl>
    <w:lvl w:ilvl="6" w:tplc="82C8B1B2">
      <w:start w:val="1"/>
      <w:numFmt w:val="decimal"/>
      <w:lvlText w:val="%7."/>
      <w:lvlJc w:val="left"/>
      <w:pPr>
        <w:ind w:left="5247" w:hanging="360"/>
      </w:pPr>
    </w:lvl>
    <w:lvl w:ilvl="7" w:tplc="9B2A2ADA">
      <w:start w:val="1"/>
      <w:numFmt w:val="lowerLetter"/>
      <w:lvlText w:val="%8."/>
      <w:lvlJc w:val="left"/>
      <w:pPr>
        <w:ind w:left="5967" w:hanging="360"/>
      </w:pPr>
    </w:lvl>
    <w:lvl w:ilvl="8" w:tplc="3BD0F5AE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multiLevelType w:val="hybridMultilevel"/>
    <w:lvl w:ilvl="0" w:tplc="992A7916">
      <w:start w:val="1"/>
      <w:numFmt w:val="decimal"/>
      <w:lvlText w:val="%1."/>
      <w:lvlJc w:val="left"/>
      <w:pPr>
        <w:ind w:left="720" w:hanging="360"/>
      </w:pPr>
    </w:lvl>
    <w:lvl w:ilvl="1" w:tplc="CE6C914A">
      <w:start w:val="1"/>
      <w:numFmt w:val="lowerLetter"/>
      <w:lvlText w:val="%2."/>
      <w:lvlJc w:val="left"/>
      <w:pPr>
        <w:ind w:left="1440" w:hanging="360"/>
      </w:pPr>
    </w:lvl>
    <w:lvl w:ilvl="2" w:tplc="6D54C4F0">
      <w:start w:val="1"/>
      <w:numFmt w:val="lowerRoman"/>
      <w:lvlText w:val="%3."/>
      <w:lvlJc w:val="right"/>
      <w:pPr>
        <w:ind w:left="2160" w:hanging="180"/>
      </w:pPr>
    </w:lvl>
    <w:lvl w:ilvl="3" w:tplc="DDD8429C">
      <w:start w:val="1"/>
      <w:numFmt w:val="decimal"/>
      <w:lvlText w:val="%4."/>
      <w:lvlJc w:val="left"/>
      <w:pPr>
        <w:ind w:left="2880" w:hanging="360"/>
      </w:pPr>
    </w:lvl>
    <w:lvl w:ilvl="4" w:tplc="A7863D10">
      <w:start w:val="1"/>
      <w:numFmt w:val="lowerLetter"/>
      <w:lvlText w:val="%5."/>
      <w:lvlJc w:val="left"/>
      <w:pPr>
        <w:ind w:left="3600" w:hanging="360"/>
      </w:pPr>
    </w:lvl>
    <w:lvl w:ilvl="5" w:tplc="0ACC9EB8">
      <w:start w:val="1"/>
      <w:numFmt w:val="lowerRoman"/>
      <w:lvlText w:val="%6."/>
      <w:lvlJc w:val="right"/>
      <w:pPr>
        <w:ind w:left="4320" w:hanging="180"/>
      </w:pPr>
    </w:lvl>
    <w:lvl w:ilvl="6" w:tplc="8770367C">
      <w:start w:val="1"/>
      <w:numFmt w:val="decimal"/>
      <w:lvlText w:val="%7."/>
      <w:lvlJc w:val="left"/>
      <w:pPr>
        <w:ind w:left="5040" w:hanging="360"/>
      </w:pPr>
    </w:lvl>
    <w:lvl w:ilvl="7" w:tplc="A3545116">
      <w:start w:val="1"/>
      <w:numFmt w:val="lowerLetter"/>
      <w:lvlText w:val="%8."/>
      <w:lvlJc w:val="left"/>
      <w:pPr>
        <w:ind w:left="5760" w:hanging="360"/>
      </w:pPr>
    </w:lvl>
    <w:lvl w:ilvl="8" w:tplc="1FA8C6C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12"/>
  </w:num>
  <w:num w:numId="5">
    <w:abstractNumId w:val="10"/>
  </w:num>
  <w:num w:numId="6">
    <w:abstractNumId w:val="5"/>
  </w:num>
  <w:num w:numId="7">
    <w:abstractNumId w:val="18"/>
  </w:num>
  <w:num w:numId="8">
    <w:abstractNumId w:val="21"/>
  </w:num>
  <w:num w:numId="9">
    <w:abstractNumId w:val="17"/>
  </w:num>
  <w:num w:numId="10">
    <w:abstractNumId w:val="22"/>
  </w:num>
  <w:num w:numId="11">
    <w:abstractNumId w:val="4"/>
  </w:num>
  <w:num w:numId="12">
    <w:abstractNumId w:val="2"/>
  </w:num>
  <w:num w:numId="13">
    <w:abstractNumId w:val="7"/>
  </w:num>
  <w:num w:numId="14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6"/>
  </w:num>
  <w:num w:numId="17">
    <w:abstractNumId w:val="8"/>
  </w:num>
  <w:num w:numId="18">
    <w:abstractNumId w:val="19"/>
  </w:num>
  <w:num w:numId="19">
    <w:abstractNumId w:val="16"/>
  </w:num>
  <w:num w:numId="20">
    <w:abstractNumId w:val="1"/>
  </w:num>
  <w:num w:numId="21">
    <w:abstractNumId w:val="13"/>
  </w:num>
  <w:num w:numId="22">
    <w:abstractNumId w:val="20"/>
  </w:num>
  <w:num w:numId="23">
    <w:abstractNumId w:val="15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tabs>
        <w:tab w:val="left" w:pos="4500"/>
      </w:tabs>
      <w:ind w:left="1080" w:right="4855" w:hanging="540"/>
      <w:outlineLvl w:val="0"/>
    </w:pPr>
    <w:rPr>
      <w:b/>
      <w:bCs/>
      <w:sz w:val="18"/>
    </w:rPr>
  </w:style>
  <w:style w:type="paragraph" w:styleId="2">
    <w:name w:val="heading 2"/>
    <w:basedOn w:val="a"/>
    <w:next w:val="a"/>
    <w:link w:val="20"/>
    <w:qFormat/>
    <w:pPr>
      <w:keepNext/>
      <w:tabs>
        <w:tab w:val="left" w:pos="4500"/>
      </w:tabs>
      <w:ind w:left="1080" w:right="4855" w:hanging="540"/>
      <w:outlineLvl w:val="1"/>
    </w:pPr>
    <w:rPr>
      <w:b/>
      <w:bCs/>
      <w:sz w:val="16"/>
    </w:rPr>
  </w:style>
  <w:style w:type="paragraph" w:styleId="3">
    <w:name w:val="heading 3"/>
    <w:basedOn w:val="a"/>
    <w:next w:val="a"/>
    <w:link w:val="30"/>
    <w:qFormat/>
    <w:pPr>
      <w:keepNext/>
      <w:tabs>
        <w:tab w:val="left" w:pos="4500"/>
      </w:tabs>
      <w:ind w:left="1080" w:right="4855" w:hanging="540"/>
      <w:outlineLvl w:val="2"/>
    </w:pPr>
    <w:rPr>
      <w:b/>
      <w:bCs/>
      <w:sz w:val="2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">
    <w:name w:val="heading 6"/>
    <w:basedOn w:val="a"/>
    <w:next w:val="a"/>
    <w:link w:val="60"/>
    <w:qFormat/>
    <w:pPr>
      <w:keepNext/>
      <w:tabs>
        <w:tab w:val="left" w:pos="72"/>
        <w:tab w:val="left" w:pos="6192"/>
      </w:tabs>
      <w:ind w:left="72" w:right="72"/>
      <w:jc w:val="center"/>
      <w:outlineLvl w:val="5"/>
    </w:pPr>
    <w:rPr>
      <w:b/>
      <w:bCs/>
      <w:sz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Heading1Char" w:customStyle="1">
    <w:name w:val="Heading 1 Char"/>
    <w:basedOn w:val="a0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0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0"/>
    <w:uiPriority w:val="9"/>
    <w:rPr>
      <w:rFonts w:ascii="Arial" w:hAnsi="Arial" w:eastAsia="Arial" w:cs="Arial"/>
      <w:sz w:val="30"/>
      <w:szCs w:val="30"/>
    </w:rPr>
  </w:style>
  <w:style w:type="character" w:styleId="40" w:customStyle="1">
    <w:name w:val="Заголовок 4 Знак"/>
    <w:basedOn w:val="a0"/>
    <w:link w:val="4"/>
    <w:uiPriority w:val="9"/>
    <w:rPr>
      <w:rFonts w:ascii="Arial" w:hAnsi="Arial" w:eastAsia="Arial" w:cs="Arial"/>
      <w:b/>
      <w:bCs/>
      <w:sz w:val="26"/>
      <w:szCs w:val="26"/>
    </w:rPr>
  </w:style>
  <w:style w:type="character" w:styleId="50" w:customStyle="1">
    <w:name w:val="Заголовок 5 Знак"/>
    <w:basedOn w:val="a0"/>
    <w:link w:val="5"/>
    <w:uiPriority w:val="9"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a0"/>
    <w:uiPriority w:val="9"/>
    <w:rPr>
      <w:rFonts w:ascii="Arial" w:hAnsi="Arial" w:eastAsia="Arial" w:cs="Arial"/>
      <w:b/>
      <w:bCs/>
      <w:sz w:val="22"/>
      <w:szCs w:val="22"/>
    </w:rPr>
  </w:style>
  <w:style w:type="character" w:styleId="70" w:customStyle="1">
    <w:name w:val="Заголовок 7 Знак"/>
    <w:basedOn w:val="a0"/>
    <w:link w:val="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" w:customStyle="1">
    <w:name w:val="Заголовок 8 Знак"/>
    <w:basedOn w:val="a0"/>
    <w:link w:val="8"/>
    <w:uiPriority w:val="9"/>
    <w:rPr>
      <w:rFonts w:ascii="Arial" w:hAnsi="Arial" w:eastAsia="Arial" w:cs="Arial"/>
      <w:i/>
      <w:iCs/>
      <w:sz w:val="22"/>
      <w:szCs w:val="22"/>
    </w:rPr>
  </w:style>
  <w:style w:type="character" w:styleId="90" w:customStyle="1">
    <w:name w:val="Заголовок 9 Знак"/>
    <w:basedOn w:val="a0"/>
    <w:link w:val="9"/>
    <w:uiPriority w:val="9"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</w:style>
  <w:style w:type="character" w:styleId="a4" w:customStyle="1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styleId="22" w:customStyle="1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a6" w:customStyle="1">
    <w:name w:val="Выделенная цитата Знак"/>
    <w:link w:val="a5"/>
    <w:uiPriority w:val="30"/>
    <w:rPr>
      <w:i/>
    </w:rPr>
  </w:style>
  <w:style w:type="character" w:styleId="HeaderChar" w:customStyle="1">
    <w:name w:val="Header Char"/>
    <w:basedOn w:val="a0"/>
    <w:uiPriority w:val="99"/>
  </w:style>
  <w:style w:type="character" w:styleId="FooterChar" w:customStyle="1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a8" w:customStyle="1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band1Horz">
      <w:tcPr>
        <w:shd w:val="clear" w:color="8a8a8a" w:themeColor="text1" w:themeTint="75" w:fill="8a8a8a" w:themeFill="text1" w:themeFillTint="75"/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band1Horz">
      <w:tcPr>
        <w:shd w:val="clear" w:color="aec4e0" w:themeColor="accent1" w:themeTint="75" w:fill="aec4e0" w:themeFill="accent1" w:themeFillTint="75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band1Horz">
      <w:tcPr>
        <w:shd w:val="clear" w:color="d0dfb2" w:themeColor="accent3" w:themeTint="75" w:fill="d0dfb2" w:themeFill="accent3" w:themeFillTint="75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tcPr>
        <w:shd w:val="clear" w:color="bfbfbf" w:themeColor="text1" w:themeTint="40" w:fill="bfbfbf" w:themeFill="text1" w:themeFillTint="40"/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tcPr>
        <w:shd w:val="clear" w:color="efd2d2" w:themeColor="accent2" w:themeTint="40" w:fill="efd2d2" w:themeFill="accent2" w:themeFillTint="40"/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tcPr>
        <w:shd w:val="clear" w:color="e5eed5" w:themeColor="accent3" w:themeTint="40" w:fill="e5eed5" w:themeFill="accent3" w:themeFillTint="40"/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BorderedLined-Accent" w:customStyle="1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BorderedLined-Accent1" w:customStyle="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styleId="BorderedLined-Accent2" w:customStyle="1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BorderedLined-Accent3" w:customStyle="1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BorderedLined-Accent4" w:customStyle="1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BorderedLined-Accent5" w:customStyle="1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BorderedLined-Accent6" w:customStyle="1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styleId="FootnoteTextChar" w:customStyle="1">
    <w:name w:val="Footnote Text Char"/>
    <w:uiPriority w:val="99"/>
    <w:rPr>
      <w:sz w:val="18"/>
    </w:rPr>
  </w:style>
  <w:style w:type="paragraph" w:styleId="a9">
    <w:name w:val="endnote text"/>
    <w:basedOn w:val="a"/>
    <w:link w:val="aa"/>
    <w:uiPriority w:val="99"/>
    <w:semiHidden/>
    <w:unhideWhenUsed/>
    <w:rPr>
      <w:sz w:val="20"/>
    </w:rPr>
  </w:style>
  <w:style w:type="character" w:styleId="aa" w:customStyle="1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"/>
    <w:next w:val="a"/>
    <w:uiPriority w:val="99"/>
    <w:unhideWhenUsed/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styleId="af" w:customStyle="1">
    <w:name w:val="Стиль ис"/>
    <w:basedOn w:val="a"/>
    <w:link w:val="af0"/>
    <w:qFormat/>
    <w:pPr>
      <w:tabs>
        <w:tab w:val="left" w:pos="851"/>
      </w:tabs>
      <w:ind w:firstLine="567"/>
      <w:jc w:val="both"/>
    </w:pPr>
  </w:style>
  <w:style w:type="paragraph" w:styleId="af1" w:customStyle="1">
    <w:name w:val="Стиль ИСС"/>
    <w:basedOn w:val="a"/>
    <w:link w:val="af2"/>
    <w:qFormat/>
    <w:pPr>
      <w:tabs>
        <w:tab w:val="left" w:pos="851"/>
      </w:tabs>
      <w:ind w:firstLine="567"/>
      <w:jc w:val="both"/>
    </w:pPr>
  </w:style>
  <w:style w:type="character" w:styleId="af0" w:customStyle="1">
    <w:name w:val="Стиль ис Знак"/>
    <w:link w:val="af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f2" w:customStyle="1">
    <w:name w:val="Стиль ИСС Знак"/>
    <w:link w:val="af1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Normal" w:customStyle="1">
    <w:name w:val="ConsNormal"/>
    <w:pPr>
      <w:widowControl w:val="off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eastAsia="ru-RU"/>
    </w:rPr>
  </w:style>
  <w:style w:type="character" w:styleId="af3">
    <w:name w:val="Hyperlink"/>
    <w:uiPriority w:val="99"/>
    <w:unhideWhenUsed/>
    <w:rPr>
      <w:color w:val="0000ff"/>
      <w:u w:val="single"/>
    </w:rPr>
  </w:style>
  <w:style w:type="paragraph" w:styleId="af4">
    <w:name w:val="Balloon Text"/>
    <w:basedOn w:val="a"/>
    <w:link w:val="af5"/>
    <w:unhideWhenUsed/>
    <w:rPr>
      <w:rFonts w:ascii="Tahoma" w:hAnsi="Tahoma" w:cs="Tahoma"/>
      <w:sz w:val="16"/>
      <w:szCs w:val="16"/>
    </w:rPr>
  </w:style>
  <w:style w:type="character" w:styleId="af5" w:customStyle="1">
    <w:name w:val="Текст выноски Знак"/>
    <w:basedOn w:val="a0"/>
    <w:link w:val="af4"/>
    <w:rPr>
      <w:rFonts w:ascii="Tahoma" w:hAnsi="Tahoma" w:eastAsia="Times New Roman" w:cs="Tahoma"/>
      <w:sz w:val="16"/>
      <w:szCs w:val="16"/>
      <w:lang w:eastAsia="ru-RU"/>
    </w:rPr>
  </w:style>
  <w:style w:type="paragraph" w:styleId="af6" w:customStyle="1">
    <w:name w:val="Исполнитель"/>
    <w:basedOn w:val="af7"/>
    <w:pPr>
      <w:spacing w:after="0" w:line="240" w:lineRule="exact"/>
      <w:ind w:firstLine="709"/>
      <w:jc w:val="both"/>
    </w:pPr>
    <w:rPr>
      <w:sz w:val="28"/>
      <w:szCs w:val="20"/>
    </w:rPr>
  </w:style>
  <w:style w:type="paragraph" w:styleId="af7">
    <w:name w:val="Body Text"/>
    <w:basedOn w:val="a"/>
    <w:link w:val="af8"/>
    <w:unhideWhenUsed/>
    <w:pPr>
      <w:spacing w:after="120"/>
    </w:pPr>
  </w:style>
  <w:style w:type="character" w:styleId="af8" w:customStyle="1">
    <w:name w:val="Основной текст Знак"/>
    <w:basedOn w:val="a0"/>
    <w:link w:val="af7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f9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fa">
    <w:name w:val="footnote text"/>
    <w:basedOn w:val="a"/>
    <w:link w:val="afb"/>
    <w:semiHidden/>
    <w:unhideWhenUsed/>
    <w:rPr>
      <w:sz w:val="20"/>
      <w:szCs w:val="20"/>
    </w:rPr>
  </w:style>
  <w:style w:type="character" w:styleId="afb" w:customStyle="1">
    <w:name w:val="Текст сноски Знак"/>
    <w:basedOn w:val="a0"/>
    <w:link w:val="afa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uiPriority w:val="99"/>
    <w:semiHidden/>
    <w:unhideWhenUsed/>
    <w:rPr>
      <w:vertAlign w:val="superscript"/>
    </w:rPr>
  </w:style>
  <w:style w:type="paragraph" w:styleId="ConsPlusNormal" w:customStyle="1">
    <w:name w:val="ConsPlusNormal"/>
    <w:qFormat/>
    <w:pPr>
      <w:widowControl w:val="off"/>
      <w:spacing w:after="0" w:line="240" w:lineRule="auto"/>
    </w:pPr>
    <w:rPr>
      <w:rFonts w:ascii="Arial" w:hAnsi="Arial" w:cs="Arial" w:eastAsiaTheme="minorEastAsia"/>
      <w:sz w:val="20"/>
      <w:szCs w:val="20"/>
      <w:lang w:eastAsia="ru-RU"/>
    </w:rPr>
  </w:style>
  <w:style w:type="paragraph" w:styleId="afd" w:customStyle="1">
    <w:name w:val="СтильИС"/>
    <w:basedOn w:val="a"/>
    <w:link w:val="afe"/>
    <w:qFormat/>
    <w:pPr>
      <w:ind w:right="21"/>
      <w:jc w:val="center"/>
    </w:pPr>
    <w:rPr>
      <w:sz w:val="22"/>
      <w:szCs w:val="22"/>
    </w:rPr>
  </w:style>
  <w:style w:type="character" w:styleId="afe" w:customStyle="1">
    <w:name w:val="СтильИС Знак"/>
    <w:link w:val="afd"/>
    <w:rPr>
      <w:rFonts w:ascii="Times New Roman" w:hAnsi="Times New Roman" w:eastAsia="Times New Roman" w:cs="Times New Roman"/>
      <w:lang w:eastAsia="ru-RU"/>
    </w:rPr>
  </w:style>
  <w:style w:type="character" w:styleId="10" w:customStyle="1">
    <w:name w:val="Заголовок 1 Знак"/>
    <w:basedOn w:val="a0"/>
    <w:link w:val="1"/>
    <w:rPr>
      <w:rFonts w:ascii="Times New Roman" w:hAnsi="Times New Roman" w:eastAsia="Times New Roman" w:cs="Times New Roman"/>
      <w:b/>
      <w:bCs/>
      <w:sz w:val="18"/>
      <w:szCs w:val="24"/>
      <w:lang w:eastAsia="ru-RU"/>
    </w:rPr>
  </w:style>
  <w:style w:type="character" w:styleId="20" w:customStyle="1">
    <w:name w:val="Заголовок 2 Знак"/>
    <w:basedOn w:val="a0"/>
    <w:link w:val="2"/>
    <w:rPr>
      <w:rFonts w:ascii="Times New Roman" w:hAnsi="Times New Roman" w:eastAsia="Times New Roman" w:cs="Times New Roman"/>
      <w:b/>
      <w:bCs/>
      <w:sz w:val="16"/>
      <w:szCs w:val="24"/>
      <w:lang w:eastAsia="ru-RU"/>
    </w:rPr>
  </w:style>
  <w:style w:type="character" w:styleId="30" w:customStyle="1">
    <w:name w:val="Заголовок 3 Знак"/>
    <w:basedOn w:val="a0"/>
    <w:link w:val="3"/>
    <w:rPr>
      <w:rFonts w:ascii="Times New Roman" w:hAnsi="Times New Roman" w:eastAsia="Times New Roman" w:cs="Times New Roman"/>
      <w:b/>
      <w:bCs/>
      <w:sz w:val="20"/>
      <w:szCs w:val="24"/>
      <w:lang w:eastAsia="ru-RU"/>
    </w:rPr>
  </w:style>
  <w:style w:type="character" w:styleId="60" w:customStyle="1">
    <w:name w:val="Заголовок 6 Знак"/>
    <w:basedOn w:val="a0"/>
    <w:link w:val="6"/>
    <w:rPr>
      <w:rFonts w:ascii="Times New Roman" w:hAnsi="Times New Roman" w:eastAsia="Times New Roman" w:cs="Times New Roman"/>
      <w:b/>
      <w:bCs/>
      <w:sz w:val="20"/>
      <w:szCs w:val="24"/>
      <w:lang w:eastAsia="ru-RU"/>
    </w:rPr>
  </w:style>
  <w:style w:type="character" w:styleId="defaultlabelstyle3" w:customStyle="1">
    <w:name w:val="defaultlabelstyle3"/>
    <w:rPr>
      <w:rFonts w:hint="default" w:ascii="Trebuchet MS" w:hAnsi="Trebuchet MS"/>
      <w:color w:val="333333"/>
    </w:rPr>
  </w:style>
  <w:style w:type="paragraph" w:styleId="aff" w:customStyle="1">
    <w:name w:val="Стиль ИС"/>
    <w:basedOn w:val="a"/>
    <w:link w:val="aff0"/>
    <w:qFormat/>
    <w:pPr>
      <w:ind w:right="21"/>
      <w:jc w:val="both"/>
    </w:pPr>
    <w:rPr>
      <w:sz w:val="22"/>
      <w:szCs w:val="22"/>
    </w:rPr>
  </w:style>
  <w:style w:type="character" w:styleId="aff0" w:customStyle="1">
    <w:name w:val="Стиль ИС Знак"/>
    <w:link w:val="aff"/>
    <w:rPr>
      <w:rFonts w:ascii="Times New Roman" w:hAnsi="Times New Roman" w:eastAsia="Times New Roman" w:cs="Times New Roman"/>
      <w:lang w:eastAsia="ru-RU"/>
    </w:rPr>
  </w:style>
  <w:style w:type="paragraph" w:styleId="aff1" w:customStyle="1">
    <w:name w:val="ис"/>
    <w:basedOn w:val="a"/>
    <w:link w:val="aff2"/>
    <w:qFormat/>
    <w:pPr>
      <w:ind w:left="142" w:right="-2"/>
      <w:jc w:val="center"/>
    </w:pPr>
    <w:rPr>
      <w:b/>
    </w:rPr>
  </w:style>
  <w:style w:type="character" w:styleId="aff2" w:customStyle="1">
    <w:name w:val="ис Знак"/>
    <w:link w:val="aff1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paragraph" w:styleId="aff3">
    <w:name w:val="List Bullet"/>
    <w:basedOn w:val="a"/>
    <w:unhideWhenUsed/>
    <w:pPr>
      <w:jc w:val="both"/>
    </w:pPr>
    <w:rPr>
      <w:bCs/>
      <w:sz w:val="28"/>
      <w:szCs w:val="28"/>
    </w:rPr>
  </w:style>
  <w:style w:type="numbering" w:styleId="13" w:customStyle="1">
    <w:name w:val="Нет списка1"/>
    <w:next w:val="a2"/>
    <w:semiHidden/>
  </w:style>
  <w:style w:type="paragraph" w:styleId="aff4" w:customStyle="1">
    <w:name w:val="Заголовок к тексту"/>
    <w:basedOn w:val="a"/>
    <w:next w:val="af7"/>
    <w:pPr>
      <w:spacing w:after="480" w:line="240" w:lineRule="exact"/>
    </w:pPr>
    <w:rPr>
      <w:b/>
      <w:sz w:val="28"/>
      <w:szCs w:val="20"/>
    </w:rPr>
  </w:style>
  <w:style w:type="paragraph" w:styleId="aff5" w:customStyle="1">
    <w:name w:val="регистрационные поля"/>
    <w:basedOn w:val="a"/>
    <w:pPr>
      <w:spacing w:line="240" w:lineRule="exact"/>
      <w:jc w:val="center"/>
    </w:pPr>
    <w:rPr>
      <w:sz w:val="28"/>
      <w:szCs w:val="20"/>
      <w:lang w:val="en-US"/>
    </w:rPr>
  </w:style>
  <w:style w:type="paragraph" w:styleId="aff6">
    <w:name w:val="footer"/>
    <w:basedOn w:val="a"/>
    <w:link w:val="aff7"/>
    <w:pPr>
      <w:tabs>
        <w:tab w:val="center" w:pos="4677"/>
        <w:tab w:val="right" w:pos="9355"/>
      </w:tabs>
    </w:pPr>
    <w:rPr>
      <w:sz w:val="28"/>
      <w:szCs w:val="20"/>
    </w:rPr>
  </w:style>
  <w:style w:type="character" w:styleId="aff7" w:customStyle="1">
    <w:name w:val="Нижний колонтитул Знак"/>
    <w:basedOn w:val="a0"/>
    <w:link w:val="aff6"/>
    <w:rPr>
      <w:rFonts w:ascii="Times New Roman" w:hAnsi="Times New Roman" w:eastAsia="Times New Roman" w:cs="Times New Roman"/>
      <w:sz w:val="28"/>
      <w:szCs w:val="20"/>
    </w:rPr>
  </w:style>
  <w:style w:type="paragraph" w:styleId="aff8" w:customStyle="1">
    <w:name w:val="Подпись на  бланке должностного лица"/>
    <w:basedOn w:val="a"/>
    <w:next w:val="af7"/>
    <w:pPr>
      <w:spacing w:before="480" w:line="240" w:lineRule="exact"/>
      <w:ind w:left="7088"/>
    </w:pPr>
    <w:rPr>
      <w:sz w:val="28"/>
      <w:szCs w:val="20"/>
    </w:rPr>
  </w:style>
  <w:style w:type="paragraph" w:styleId="aff9">
    <w:name w:val="Signature"/>
    <w:basedOn w:val="a"/>
    <w:next w:val="af7"/>
    <w:link w:val="affa"/>
    <w:pPr>
      <w:tabs>
        <w:tab w:val="left" w:pos="5103"/>
        <w:tab w:val="right" w:pos="9639"/>
      </w:tabs>
      <w:spacing w:before="480" w:line="240" w:lineRule="exact"/>
    </w:pPr>
    <w:rPr>
      <w:sz w:val="28"/>
      <w:szCs w:val="20"/>
    </w:rPr>
  </w:style>
  <w:style w:type="character" w:styleId="affa" w:customStyle="1">
    <w:name w:val="Подпись Знак"/>
    <w:basedOn w:val="a0"/>
    <w:link w:val="aff9"/>
    <w:rPr>
      <w:rFonts w:ascii="Times New Roman" w:hAnsi="Times New Roman" w:eastAsia="Times New Roman" w:cs="Times New Roman"/>
      <w:sz w:val="28"/>
      <w:szCs w:val="20"/>
    </w:rPr>
  </w:style>
  <w:style w:type="paragraph" w:styleId="affb" w:customStyle="1">
    <w:name w:val="Приложение"/>
    <w:basedOn w:val="af7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  <w:szCs w:val="20"/>
    </w:rPr>
  </w:style>
  <w:style w:type="paragraph" w:styleId="affc">
    <w:name w:val="Block Text"/>
    <w:basedOn w:val="a"/>
    <w:pPr>
      <w:tabs>
        <w:tab w:val="left" w:pos="72"/>
        <w:tab w:val="left" w:pos="3960"/>
        <w:tab w:val="left" w:pos="6192"/>
      </w:tabs>
      <w:ind w:left="72" w:right="4855"/>
      <w:jc w:val="center"/>
    </w:pPr>
    <w:rPr>
      <w:b/>
      <w:bCs/>
      <w:sz w:val="20"/>
    </w:rPr>
  </w:style>
  <w:style w:type="numbering" w:styleId="25" w:customStyle="1">
    <w:name w:val="Нет списка2"/>
    <w:next w:val="a2"/>
    <w:semiHidden/>
  </w:style>
  <w:style w:type="paragraph" w:styleId="affd">
    <w:name w:val="header"/>
    <w:basedOn w:val="a"/>
    <w:link w:val="affe"/>
    <w:uiPriority w:val="99"/>
    <w:unhideWhenUsed/>
    <w:pPr>
      <w:tabs>
        <w:tab w:val="center" w:pos="4677"/>
        <w:tab w:val="right" w:pos="9355"/>
      </w:tabs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affe" w:customStyle="1">
    <w:name w:val="Верхний колонтитул Знак"/>
    <w:basedOn w:val="a0"/>
    <w:link w:val="affd"/>
    <w:uiPriority w:val="99"/>
    <w:rPr>
      <w:rFonts w:ascii="Calibri" w:hAnsi="Calibri" w:eastAsia="Calibri" w:cs="Times New Roman"/>
    </w:rPr>
  </w:style>
  <w:style w:type="character" w:styleId="afff">
    <w:name w:val="annotation reference"/>
    <w:uiPriority w:val="99"/>
    <w:semiHidden/>
    <w:unhideWhenUsed/>
    <w:rPr>
      <w:sz w:val="16"/>
      <w:szCs w:val="16"/>
    </w:rPr>
  </w:style>
  <w:style w:type="paragraph" w:styleId="afff0">
    <w:name w:val="annotation text"/>
    <w:basedOn w:val="a"/>
    <w:link w:val="afff1"/>
    <w:uiPriority w:val="99"/>
    <w:semiHidden/>
    <w:unhideWhenUsed/>
    <w:pPr>
      <w:spacing w:after="200" w:line="276" w:lineRule="auto"/>
    </w:pPr>
    <w:rPr>
      <w:rFonts w:ascii="Calibri" w:hAnsi="Calibri" w:eastAsia="Calibri"/>
      <w:sz w:val="20"/>
      <w:szCs w:val="20"/>
      <w:lang w:eastAsia="en-US"/>
    </w:rPr>
  </w:style>
  <w:style w:type="character" w:styleId="afff1" w:customStyle="1">
    <w:name w:val="Текст примечания Знак"/>
    <w:basedOn w:val="a0"/>
    <w:link w:val="afff0"/>
    <w:uiPriority w:val="99"/>
    <w:semiHidden/>
    <w:rPr>
      <w:rFonts w:ascii="Calibri" w:hAnsi="Calibri" w:eastAsia="Calibri" w:cs="Times New Roman"/>
      <w:sz w:val="20"/>
      <w:szCs w:val="20"/>
    </w:rPr>
  </w:style>
  <w:style w:type="paragraph" w:styleId="afff2">
    <w:name w:val="annotation subject"/>
    <w:basedOn w:val="afff0"/>
    <w:next w:val="afff0"/>
    <w:link w:val="afff3"/>
    <w:uiPriority w:val="99"/>
    <w:semiHidden/>
    <w:unhideWhenUsed/>
    <w:rPr>
      <w:b/>
      <w:bCs/>
    </w:rPr>
  </w:style>
  <w:style w:type="character" w:styleId="afff3" w:customStyle="1">
    <w:name w:val="Тема примечания Знак"/>
    <w:basedOn w:val="afff1"/>
    <w:link w:val="afff2"/>
    <w:uiPriority w:val="99"/>
    <w:semiHidden/>
    <w:rPr>
      <w:rFonts w:ascii="Calibri" w:hAnsi="Calibri" w:eastAsia="Calibri" w:cs="Times New Roman"/>
      <w:b/>
      <w:bCs/>
      <w:sz w:val="20"/>
      <w:szCs w:val="20"/>
    </w:rPr>
  </w:style>
  <w:style w:type="table" w:styleId="afff4">
    <w:name w:val="Table Grid"/>
    <w:basedOn w:val="a1"/>
    <w:uiPriority w:val="59"/>
    <w:pPr>
      <w:spacing w:after="0" w:line="240" w:lineRule="auto"/>
    </w:pPr>
    <w:rPr>
      <w:rFonts w:ascii="Calibri" w:hAnsi="Calibri" w:eastAsia="Calibri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numbering" w:styleId="33" w:customStyle="1">
    <w:name w:val="Нет списка3"/>
    <w:next w:val="a2"/>
    <w:uiPriority w:val="99"/>
    <w:semiHidden/>
    <w:unhideWhenUsed/>
  </w:style>
  <w:style w:type="numbering" w:styleId="110" w:customStyle="1">
    <w:name w:val="Нет списка11"/>
    <w:next w:val="a2"/>
    <w:semiHidden/>
  </w:style>
  <w:style w:type="paragraph" w:styleId="afff5">
    <w:name w:val="Title"/>
    <w:basedOn w:val="a"/>
    <w:next w:val="a"/>
    <w:link w:val="afff6"/>
    <w:uiPriority w:val="10"/>
    <w:qFormat/>
    <w:pPr>
      <w:spacing w:before="240" w:after="60" w:line="276" w:lineRule="auto"/>
      <w:jc w:val="center"/>
      <w:outlineLvl w:val="0"/>
    </w:pPr>
    <w:rPr>
      <w:rFonts w:ascii="Cambria" w:hAnsi="Cambria"/>
      <w:b/>
      <w:bCs/>
      <w:sz w:val="32"/>
      <w:szCs w:val="32"/>
      <w:lang w:eastAsia="en-US"/>
    </w:rPr>
  </w:style>
  <w:style w:type="character" w:styleId="afff6" w:customStyle="1">
    <w:name w:val="Название Знак"/>
    <w:basedOn w:val="a0"/>
    <w:link w:val="afff5"/>
    <w:uiPriority w:val="10"/>
    <w:rPr>
      <w:rFonts w:ascii="Cambria" w:hAnsi="Cambria" w:eastAsia="Times New Roman" w:cs="Times New Roman"/>
      <w:b/>
      <w:bCs/>
      <w:sz w:val="32"/>
      <w:szCs w:val="32"/>
    </w:rPr>
  </w:style>
  <w:style w:type="paragraph" w:styleId="afff7">
    <w:name w:val="Body Text Indent"/>
    <w:basedOn w:val="a"/>
    <w:link w:val="afff8"/>
    <w:uiPriority w:val="99"/>
    <w:unhideWhenUsed/>
    <w:pPr>
      <w:spacing w:after="120"/>
      <w:ind w:left="283"/>
    </w:pPr>
  </w:style>
  <w:style w:type="character" w:styleId="afff8" w:customStyle="1">
    <w:name w:val="Основной текст с отступом Знак"/>
    <w:basedOn w:val="a0"/>
    <w:link w:val="afff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26">
    <w:name w:val="Body Text Indent 2"/>
    <w:basedOn w:val="a"/>
    <w:link w:val="27"/>
    <w:uiPriority w:val="99"/>
    <w:semiHidden/>
    <w:unhideWhenUsed/>
    <w:pPr>
      <w:spacing w:after="120" w:line="480" w:lineRule="auto"/>
      <w:ind w:left="283"/>
    </w:pPr>
  </w:style>
  <w:style w:type="character" w:styleId="27" w:customStyle="1">
    <w:name w:val="Основной текст с отступом 2 Знак"/>
    <w:basedOn w:val="a0"/>
    <w:link w:val="26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Default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14" w:customStyle="1">
    <w:name w:val="Обычный1"/>
    <w:pPr>
      <w:widowControl w:val="off"/>
      <w:spacing w:after="0" w:line="240" w:lineRule="auto"/>
      <w:ind w:left="40" w:firstLine="100"/>
      <w:jc w:val="both"/>
    </w:pPr>
    <w:rPr>
      <w:rFonts w:ascii="Arial" w:hAnsi="Arial" w:eastAsia="Times New Roman" w:cs="Times New Roman"/>
      <w:sz w:val="16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utp.sberbank-ast.ru/AP/Notice/652/Instruction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E1FFB-C337-4A7F-A92B-70F984048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24311</Characters>
  <CharactersWithSpaces>28518</CharactersWithSpaces>
  <Company/>
  <DocSecurity>0</DocSecurity>
  <HyperlinksChanged>false</HyperlinksChanged>
  <Lines>202</Lines>
  <LinksUpToDate>false</LinksUpToDate>
  <Pages>9</Pages>
  <Paragraphs>57</Paragraphs>
  <ScaleCrop>false</ScaleCrop>
  <SharedDoc>false</SharedDoc>
  <Template>Normal</Template>
  <TotalTime>0</TotalTime>
  <Words>4264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 Сергей Григорьевич</dc:creator>
  <cp:keywords/>
  <dc:description/>
  <cp:lastModifiedBy>osleskova@pk.gov</cp:lastModifiedBy>
  <cp:revision>2</cp:revision>
  <cp:lastPrinted>2026-06-29T11:18:00Z</cp:lastPrinted>
  <dcterms:created xsi:type="dcterms:W3CDTF">2026-08-18T10:38:00Z</dcterms:created>
  <dcterms:modified xsi:type="dcterms:W3CDTF">2026-08-18T10:38:00Z</dcterms:modified>
</cp:coreProperties>
</file>