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keepNext/>
        <w:spacing w:line="260" w:lineRule="exact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ИНФОРМАЦИОННОЕ СООБЩЕНИЕ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99"/>
        <w:jc w:val="center"/>
        <w:spacing w:line="260" w:lineRule="exac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 продаже государственного имущества </w:t>
      </w:r>
      <w:r>
        <w:rPr>
          <w:sz w:val="28"/>
          <w:szCs w:val="28"/>
        </w:rPr>
        <w:t xml:space="preserve">Пермского края в порядке </w:t>
      </w:r>
      <w:r>
        <w:rPr>
          <w:sz w:val="28"/>
          <w:szCs w:val="28"/>
        </w:rPr>
        <w:br/>
        <w:t xml:space="preserve">приватизации на конкурсе</w:t>
      </w:r>
      <w:r>
        <w:rPr>
          <w:rFonts w:eastAsiaTheme="minorEastAsia"/>
          <w:sz w:val="28"/>
          <w:szCs w:val="28"/>
        </w:rPr>
        <w:t xml:space="preserve"> в электронной форме</w:t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899"/>
        <w:ind w:firstLine="709"/>
        <w:jc w:val="center"/>
        <w:spacing w:line="280" w:lineRule="exac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Министерство по управлению имуществом и градостроительной деятельности Пермского края (далее – Продавец) сообщает о продаже </w:t>
      </w:r>
      <w:r>
        <w:rPr>
          <w:rFonts w:eastAsiaTheme="minorEastAsia"/>
          <w:sz w:val="28"/>
          <w:szCs w:val="28"/>
        </w:rPr>
        <w:t xml:space="preserve">краевого имущества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порядке приватизации на конкурсе в электронной форме.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1. Наименование государственного органа, принявшего реше</w:t>
      </w:r>
      <w:r>
        <w:rPr>
          <w:b/>
          <w:sz w:val="28"/>
          <w:szCs w:val="28"/>
        </w:rPr>
        <w:t xml:space="preserve">ние </w:t>
      </w:r>
      <w:r>
        <w:rPr>
          <w:b/>
          <w:sz w:val="28"/>
          <w:szCs w:val="28"/>
        </w:rPr>
        <w:br/>
        <w:t xml:space="preserve">об условиях приватизации краевого имущества, реквизиты указанного решения:</w:t>
      </w:r>
      <w:r>
        <w:rPr>
          <w:sz w:val="28"/>
          <w:szCs w:val="28"/>
        </w:rPr>
        <w:t xml:space="preserve"> Министерство по управлению имуществом и градостроительной деятельности Пермского края; приказ Министерства по управлению имуществом</w:t>
      </w:r>
      <w:r>
        <w:rPr>
          <w:sz w:val="28"/>
          <w:szCs w:val="28"/>
        </w:rPr>
        <w:br/>
        <w:t xml:space="preserve">и градостроительной деятельности Пермского к</w:t>
      </w:r>
      <w:r>
        <w:rPr>
          <w:sz w:val="28"/>
          <w:szCs w:val="28"/>
        </w:rPr>
        <w:t xml:space="preserve">рая от 02 сентября 2026 г. </w:t>
      </w:r>
      <w:r>
        <w:rPr>
          <w:sz w:val="28"/>
          <w:szCs w:val="28"/>
        </w:rPr>
        <w:br/>
        <w:t xml:space="preserve">№ 31-02-1-4-2071 «Об условиях приватизации имущества Пермского края, являющегося объектом культурного наследия, включенным в единый государственный реестр объектов культурного наследия (памятников истории </w:t>
      </w:r>
      <w:r>
        <w:rPr>
          <w:sz w:val="28"/>
          <w:szCs w:val="28"/>
        </w:rPr>
        <w:br/>
        <w:t xml:space="preserve">и культуры) народов Россий</w:t>
      </w:r>
      <w:r>
        <w:rPr>
          <w:sz w:val="28"/>
          <w:szCs w:val="28"/>
        </w:rPr>
        <w:t xml:space="preserve">ской Федерации, на конкурсе в электронной форме».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9"/>
        <w:ind w:firstLine="709"/>
        <w:jc w:val="both"/>
        <w:spacing w:line="2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Наименование, место нахождения, почтовый адрес, адрес электронной почты, номер контактного телефона Продавца: </w:t>
      </w:r>
      <w:r>
        <w:rPr>
          <w:sz w:val="28"/>
          <w:szCs w:val="28"/>
        </w:rPr>
        <w:t xml:space="preserve">Министерство по управлению имущество</w:t>
      </w:r>
      <w:r>
        <w:rPr>
          <w:sz w:val="28"/>
          <w:szCs w:val="28"/>
        </w:rPr>
        <w:t xml:space="preserve">м и градостроительной деятельности Пермского края; 614000</w:t>
      </w:r>
      <w:r>
        <w:rPr>
          <w:sz w:val="28"/>
          <w:szCs w:val="28"/>
        </w:rPr>
        <w:t xml:space="preserve">, Пермский край, г. Пермь, ул. Сибирская, д. 30а, корпус А; электронная почта: </w:t>
      </w:r>
      <w:r>
        <w:rPr>
          <w:sz w:val="28"/>
          <w:szCs w:val="28"/>
          <w:lang w:val="en-US"/>
        </w:rPr>
        <w:t xml:space="preserve">nazubareva</w:t>
      </w:r>
      <w:r>
        <w:rPr>
          <w:sz w:val="28"/>
          <w:szCs w:val="28"/>
        </w:rPr>
        <w:t xml:space="preserve">@</w:t>
      </w:r>
      <w:r>
        <w:rPr>
          <w:sz w:val="28"/>
          <w:szCs w:val="28"/>
          <w:lang w:val="en-US"/>
        </w:rPr>
        <w:t xml:space="preserve">auprim</w:t>
      </w:r>
      <w:r>
        <w:rPr>
          <w:sz w:val="28"/>
          <w:szCs w:val="28"/>
        </w:rPr>
        <w:t xml:space="preserve">.permkra</w:t>
      </w:r>
      <w:r>
        <w:rPr>
          <w:sz w:val="28"/>
          <w:szCs w:val="28"/>
          <w:lang w:val="en-US"/>
        </w:rPr>
        <w:t xml:space="preserve">i</w:t>
      </w:r>
      <w:r>
        <w:rPr>
          <w:sz w:val="28"/>
          <w:szCs w:val="28"/>
        </w:rPr>
        <w:t xml:space="preserve">.ru; номер контактного тел.: (342) 2110467 (доб. 1168); факс: (342) 211 04 02.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9"/>
        <w:ind w:firstLine="709"/>
        <w:jc w:val="both"/>
        <w:spacing w:line="2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Наименование краевого имущества и иные позволяющие </w:t>
      </w:r>
      <w:r>
        <w:rPr>
          <w:b/>
          <w:sz w:val="28"/>
          <w:szCs w:val="28"/>
        </w:rPr>
        <w:br/>
        <w:t xml:space="preserve">его индивидуализи</w:t>
      </w:r>
      <w:r>
        <w:rPr>
          <w:b/>
          <w:sz w:val="28"/>
          <w:szCs w:val="28"/>
        </w:rPr>
        <w:t xml:space="preserve">ровать сведения (спецификация лота):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  <w14:ligatures w14:val="none"/>
        </w:rPr>
      </w:pPr>
      <w:r>
        <w:rPr>
          <w:b/>
          <w:sz w:val="28"/>
          <w:szCs w:val="28"/>
        </w:rPr>
        <w:t xml:space="preserve">Лот №1.</w:t>
      </w:r>
      <w:r>
        <w:rPr>
          <w:sz w:val="28"/>
          <w:szCs w:val="28"/>
        </w:rPr>
        <w:t xml:space="preserve"> Здание, кадастровый номер </w:t>
      </w:r>
      <w:r>
        <w:rPr>
          <w:sz w:val="28"/>
          <w:szCs w:val="28"/>
        </w:rPr>
        <w:t xml:space="preserve">59:20:0000000:837</w:t>
      </w:r>
      <w:r>
        <w:rPr>
          <w:sz w:val="28"/>
          <w:szCs w:val="28"/>
        </w:rPr>
        <w:t xml:space="preserve">, назначение: нежилое, площадь: 5</w:t>
      </w:r>
      <w:r>
        <w:rPr>
          <w:sz w:val="28"/>
          <w:szCs w:val="28"/>
          <w:highlight w:val="white"/>
        </w:rPr>
        <w:t xml:space="preserve">60 кв. м, по адресу: </w:t>
      </w:r>
      <w:r>
        <w:rPr>
          <w:sz w:val="28"/>
          <w:szCs w:val="28"/>
          <w:highlight w:val="white"/>
        </w:rPr>
        <w:t xml:space="preserve">Российская Федерация, Пермский край, муниципальный округ Ильинский, поселок Ильинский, улица 50 </w:t>
      </w:r>
      <w:r>
        <w:rPr>
          <w:sz w:val="28"/>
          <w:szCs w:val="28"/>
          <w:highlight w:val="white"/>
        </w:rPr>
        <w:t xml:space="preserve">лет Октября, дом 88 </w:t>
      </w:r>
      <w:r>
        <w:rPr>
          <w:sz w:val="28"/>
          <w:szCs w:val="28"/>
          <w:highlight w:val="white"/>
        </w:rPr>
        <w:t xml:space="preserve">(далее – Объект), являющееся </w:t>
      </w:r>
      <w:r>
        <w:rPr>
          <w:sz w:val="28"/>
          <w:szCs w:val="28"/>
          <w:highlight w:val="white"/>
        </w:rPr>
        <w:t xml:space="preserve">объектом культурного наследия регионального значения «Дом Н.А. Рогова»</w:t>
      </w:r>
      <w:r>
        <w:rPr>
          <w:sz w:val="28"/>
          <w:szCs w:val="28"/>
          <w:highlight w:val="white"/>
        </w:rPr>
        <w:t xml:space="preserve">, в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</w:t>
      </w:r>
      <w:r>
        <w:rPr>
          <w:sz w:val="28"/>
          <w:szCs w:val="28"/>
          <w:highlight w:val="white"/>
        </w:rPr>
        <w:t xml:space="preserve">оответствии с распоряжением губернатора Пермской области от 05 декабря 2000 г. № 713-р «О государственном учете недвижимых памятников истории и культуры Пермского края регионального значения», призн</w:t>
      </w:r>
      <w:r>
        <w:rPr>
          <w:sz w:val="28"/>
          <w:szCs w:val="28"/>
          <w:highlight w:val="white"/>
        </w:rPr>
        <w:t xml:space="preserve">анным находящимся в неудовлетворительном состоянии на осно</w:t>
      </w:r>
      <w:r>
        <w:rPr>
          <w:sz w:val="28"/>
          <w:szCs w:val="28"/>
          <w:highlight w:val="white"/>
        </w:rPr>
        <w:t xml:space="preserve">вании приказа Государственной инспекции по охране объектов культурного наследия Пермского края </w:t>
      </w:r>
      <w:r>
        <w:rPr>
          <w:sz w:val="28"/>
          <w:szCs w:val="28"/>
          <w:highlight w:val="white"/>
        </w:rPr>
        <w:t xml:space="preserve">от 07 сентября 2020 г. № Пр55-01-06-113 «Об отнесении объекта культурного наследия – памятника регионального значения «Дом Н.А. Рогова» к объектам культурного наследия, находящимся в неудовлетворительном состоянии»</w:t>
      </w:r>
      <w:r>
        <w:rPr>
          <w:sz w:val="28"/>
          <w:szCs w:val="28"/>
          <w:highlight w:val="white"/>
        </w:rPr>
        <w:t xml:space="preserve"> (охранное обязательство собственника или иного законного владельца объекта культурного наследия, включенного </w:t>
      </w:r>
      <w:r>
        <w:rPr>
          <w:sz w:val="28"/>
          <w:szCs w:val="28"/>
          <w:highlight w:val="white"/>
        </w:rPr>
        <w:t xml:space="preserve">в единый государственный реестр объектов культурного наследия (памятников истории и культуры) народов Российской Федерации </w:t>
        <w:br/>
        <w:t xml:space="preserve">«Дом Н.А. Рогова», утвержденное </w:t>
      </w:r>
      <w:r>
        <w:rPr>
          <w:sz w:val="28"/>
          <w:szCs w:val="28"/>
          <w:highlight w:val="white"/>
        </w:rPr>
        <w:t xml:space="preserve">приказом Государственной инспекции </w:t>
        <w:br/>
        <w:t xml:space="preserve">по охране объектов культурного наследия Пермского края</w:t>
      </w:r>
      <w:r>
        <w:rPr>
          <w:sz w:val="28"/>
          <w:szCs w:val="28"/>
          <w:highlight w:val="white"/>
        </w:rPr>
        <w:t xml:space="preserve"> от </w:t>
      </w:r>
      <w:r>
        <w:rPr>
          <w:sz w:val="28"/>
          <w:szCs w:val="28"/>
          <w:highlight w:val="white"/>
        </w:rPr>
        <w:t xml:space="preserve">09 февраля</w:t>
      </w:r>
      <w:r>
        <w:rPr>
          <w:sz w:val="28"/>
          <w:szCs w:val="28"/>
          <w:highlight w:val="white"/>
        </w:rPr>
        <w:t xml:space="preserve"> </w:t>
        <w:br/>
        <w:t xml:space="preserve">20</w:t>
      </w:r>
      <w:r>
        <w:rPr>
          <w:sz w:val="28"/>
          <w:szCs w:val="28"/>
          <w:highlight w:val="white"/>
        </w:rPr>
        <w:t xml:space="preserve">21</w:t>
      </w:r>
      <w:r>
        <w:rPr>
          <w:sz w:val="28"/>
          <w:szCs w:val="28"/>
          <w:highlight w:val="white"/>
        </w:rPr>
        <w:t xml:space="preserve"> г. № </w:t>
      </w:r>
      <w:r>
        <w:rPr>
          <w:sz w:val="28"/>
          <w:szCs w:val="28"/>
          <w:highlight w:val="white"/>
        </w:rPr>
        <w:t xml:space="preserve">Пр55-01-06-36</w:t>
      </w:r>
      <w:r>
        <w:rPr>
          <w:sz w:val="28"/>
          <w:szCs w:val="28"/>
          <w:highlight w:val="white"/>
        </w:rPr>
        <w:t xml:space="preserve"> «Об утверждении охранного обязательства собственника или иного законного владельца объекта культурного наследия регионального значения «</w:t>
      </w:r>
      <w:r>
        <w:rPr>
          <w:sz w:val="28"/>
          <w:szCs w:val="28"/>
          <w:highlight w:val="white"/>
        </w:rPr>
        <w:t xml:space="preserve">Дом Н.А. Рогова</w:t>
      </w:r>
      <w:r>
        <w:rPr>
          <w:sz w:val="28"/>
          <w:szCs w:val="28"/>
          <w:highlight w:val="white"/>
        </w:rPr>
        <w:t xml:space="preserve">» (</w:t>
      </w:r>
      <w:r>
        <w:rPr>
          <w:sz w:val="28"/>
          <w:szCs w:val="28"/>
          <w:highlight w:val="white"/>
        </w:rPr>
        <w:t xml:space="preserve">в редакции приказов от </w:t>
      </w:r>
      <w:r>
        <w:rPr>
          <w:sz w:val="28"/>
          <w:szCs w:val="28"/>
          <w:highlight w:val="white"/>
        </w:rPr>
        <w:t xml:space="preserve">17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февраля</w:t>
      </w:r>
      <w:r>
        <w:rPr>
          <w:sz w:val="28"/>
          <w:szCs w:val="28"/>
          <w:highlight w:val="white"/>
        </w:rPr>
        <w:t xml:space="preserve"> 2023 г. </w:t>
        <w:br/>
      </w:r>
      <w:r>
        <w:rPr>
          <w:sz w:val="28"/>
          <w:szCs w:val="28"/>
          <w:highlight w:val="white"/>
        </w:rPr>
        <w:t xml:space="preserve">№ Пр55-01-06-3</w:t>
      </w:r>
      <w:r>
        <w:rPr>
          <w:sz w:val="28"/>
          <w:szCs w:val="28"/>
          <w:highlight w:val="white"/>
        </w:rPr>
        <w:t xml:space="preserve">4, от </w:t>
      </w:r>
      <w:r>
        <w:rPr>
          <w:sz w:val="28"/>
          <w:szCs w:val="28"/>
          <w:highlight w:val="white"/>
        </w:rPr>
        <w:t xml:space="preserve">14</w:t>
      </w:r>
      <w:r>
        <w:rPr>
          <w:sz w:val="28"/>
          <w:szCs w:val="28"/>
          <w:highlight w:val="white"/>
        </w:rPr>
        <w:t xml:space="preserve"> мая 2026 г. № Пр55-01-06-1</w:t>
      </w:r>
      <w:r>
        <w:rPr>
          <w:sz w:val="28"/>
          <w:szCs w:val="28"/>
          <w:highlight w:val="white"/>
        </w:rPr>
        <w:t xml:space="preserve">79)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pStyle w:val="899"/>
        <w:ind w:firstLine="709"/>
        <w:jc w:val="both"/>
        <w:spacing w:line="280" w:lineRule="exact"/>
        <w:rPr>
          <w:highlight w:val="white"/>
        </w:rPr>
      </w:pPr>
      <w:r>
        <w:rPr>
          <w:sz w:val="28"/>
          <w:szCs w:val="28"/>
          <w:highlight w:val="white"/>
        </w:rPr>
        <w:t xml:space="preserve">Приватизация Объекта осуществляется с одновременным предоста</w:t>
      </w:r>
      <w:r>
        <w:rPr>
          <w:sz w:val="28"/>
          <w:szCs w:val="28"/>
          <w:highlight w:val="white"/>
        </w:rPr>
        <w:t xml:space="preserve">влением победителю конкурса земельного участка площадью </w:t>
      </w:r>
      <w:r>
        <w:rPr>
          <w:sz w:val="28"/>
          <w:szCs w:val="28"/>
          <w:highlight w:val="white"/>
        </w:rPr>
        <w:t xml:space="preserve">8394</w:t>
      </w:r>
      <w:r>
        <w:rPr>
          <w:sz w:val="28"/>
          <w:szCs w:val="28"/>
          <w:highlight w:val="white"/>
        </w:rPr>
        <w:t xml:space="preserve"> кв.м. с кадастровым номером </w:t>
      </w:r>
      <w:r>
        <w:rPr>
          <w:sz w:val="28"/>
          <w:szCs w:val="28"/>
          <w:highlight w:val="white"/>
        </w:rPr>
        <w:t xml:space="preserve">59:20:0010310:155,</w:t>
      </w:r>
      <w:r>
        <w:rPr>
          <w:sz w:val="28"/>
          <w:szCs w:val="28"/>
          <w:highlight w:val="white"/>
        </w:rPr>
        <w:t xml:space="preserve"> категория земель: земли населенных пунктов, виды разрешенного использования: культурное развитие, адрес: </w:t>
      </w:r>
      <w:r>
        <w:rPr>
          <w:sz w:val="28"/>
          <w:szCs w:val="28"/>
          <w:highlight w:val="white"/>
        </w:rPr>
        <w:t xml:space="preserve">Российская Федерация, Пермский край, муниципальный округ Ильинский, поселок Ильинский, улица 50 </w:t>
      </w:r>
      <w:r>
        <w:rPr>
          <w:sz w:val="28"/>
          <w:szCs w:val="28"/>
          <w:highlight w:val="white"/>
        </w:rPr>
        <w:t xml:space="preserve">лет Октября, з/у 88</w:t>
      </w:r>
      <w:r>
        <w:rPr>
          <w:sz w:val="28"/>
          <w:szCs w:val="28"/>
          <w:highlight w:val="white"/>
        </w:rPr>
        <w:t xml:space="preserve">, занимаемого Объектом и необходимого для его использования, </w:t>
        <w:br/>
        <w:t xml:space="preserve">в аренду.</w:t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ab/>
      </w:r>
      <w:r>
        <w:rPr>
          <w:b/>
          <w:sz w:val="28"/>
          <w:szCs w:val="28"/>
          <w:highlight w:val="white"/>
        </w:rPr>
        <w:t xml:space="preserve">Начальная цена продажи краевого имущества: </w:t>
      </w:r>
      <w:r>
        <w:rPr>
          <w:sz w:val="28"/>
          <w:szCs w:val="28"/>
          <w:highlight w:val="white"/>
        </w:rPr>
        <w:t xml:space="preserve">1 (Один) рубль 00 копеек </w:t>
      </w:r>
      <w:r>
        <w:rPr>
          <w:sz w:val="28"/>
          <w:szCs w:val="28"/>
          <w:highlight w:val="white"/>
        </w:rPr>
        <w:br/>
        <w:t xml:space="preserve">с учетом НДС.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Величина повыше</w:t>
      </w:r>
      <w:r>
        <w:rPr>
          <w:b/>
          <w:sz w:val="28"/>
          <w:szCs w:val="28"/>
          <w:highlight w:val="white"/>
        </w:rPr>
        <w:t xml:space="preserve">ния начальной цены («шаг конкурса»): </w:t>
      </w:r>
      <w:r>
        <w:rPr>
          <w:sz w:val="28"/>
          <w:szCs w:val="28"/>
          <w:highlight w:val="white"/>
        </w:rPr>
        <w:t xml:space="preserve">151 807 </w:t>
      </w:r>
      <w:r>
        <w:rPr>
          <w:sz w:val="28"/>
          <w:szCs w:val="28"/>
          <w:highlight w:val="white"/>
        </w:rPr>
        <w:t xml:space="preserve">(С</w:t>
      </w:r>
      <w:r>
        <w:rPr>
          <w:sz w:val="28"/>
          <w:szCs w:val="28"/>
          <w:highlight w:val="white"/>
        </w:rPr>
        <w:t xml:space="preserve">то пятьдесят одна тысяча восемьсот семь</w:t>
      </w:r>
      <w:r>
        <w:rPr>
          <w:sz w:val="28"/>
          <w:szCs w:val="28"/>
          <w:highlight w:val="white"/>
        </w:rPr>
        <w:t xml:space="preserve">) рублей 88 копеек с учетом НДС, </w:t>
      </w:r>
      <w:r>
        <w:rPr>
          <w:sz w:val="28"/>
          <w:szCs w:val="28"/>
          <w:highlight w:val="white"/>
        </w:rPr>
        <w:br/>
        <w:t xml:space="preserve">что составляет 5% от кадастровой стоимости.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Размер задатка: </w:t>
      </w:r>
      <w:r>
        <w:rPr>
          <w:b w:val="0"/>
          <w:bCs w:val="0"/>
          <w:sz w:val="28"/>
          <w:szCs w:val="28"/>
          <w:highlight w:val="white"/>
        </w:rPr>
        <w:t xml:space="preserve">607 231</w:t>
      </w:r>
      <w:r>
        <w:rPr>
          <w:b w:val="0"/>
          <w:bCs w:val="0"/>
          <w:sz w:val="28"/>
          <w:szCs w:val="28"/>
          <w:highlight w:val="white"/>
        </w:rPr>
        <w:t xml:space="preserve"> (Ш</w:t>
      </w:r>
      <w:r>
        <w:rPr>
          <w:b w:val="0"/>
          <w:bCs w:val="0"/>
          <w:sz w:val="28"/>
          <w:szCs w:val="28"/>
          <w:highlight w:val="white"/>
        </w:rPr>
        <w:t xml:space="preserve">естьсот семь тысяч двести тридцать один</w:t>
      </w:r>
      <w:r>
        <w:rPr>
          <w:sz w:val="28"/>
          <w:szCs w:val="28"/>
          <w:highlight w:val="white"/>
        </w:rPr>
        <w:t xml:space="preserve">) рубль 52 копейки, ч</w:t>
      </w:r>
      <w:r>
        <w:rPr>
          <w:sz w:val="28"/>
          <w:szCs w:val="28"/>
          <w:highlight w:val="white"/>
        </w:rPr>
        <w:t xml:space="preserve">то составляет 20% от кадастровой стоимости.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iCs/>
          <w:sz w:val="28"/>
          <w:szCs w:val="28"/>
          <w:highlight w:val="white"/>
        </w:rPr>
      </w:pPr>
      <w:r>
        <w:rPr>
          <w:iCs/>
          <w:sz w:val="28"/>
          <w:szCs w:val="28"/>
          <w:highlight w:val="white"/>
          <w:shd w:val="clear" w:color="auto" w:fill="ffffff"/>
        </w:rPr>
        <w:t xml:space="preserve">Внесенный победителем продажи задаток засчитывается в счет оплаты приобретаемого имущества.</w:t>
      </w:r>
      <w:r>
        <w:rPr>
          <w:iCs/>
          <w:sz w:val="28"/>
          <w:szCs w:val="28"/>
          <w:highlight w:val="white"/>
        </w:rPr>
        <w:t xml:space="preserve"> Победителю конкурса возвращается часть задатка </w:t>
      </w:r>
      <w:r>
        <w:rPr>
          <w:iCs/>
          <w:sz w:val="28"/>
          <w:szCs w:val="28"/>
          <w:highlight w:val="white"/>
        </w:rPr>
        <w:br/>
        <w:t xml:space="preserve">в сумме, превышающей цену приобретения данного имущества.</w:t>
      </w:r>
      <w:r>
        <w:rPr>
          <w:iCs/>
          <w:sz w:val="28"/>
          <w:szCs w:val="28"/>
          <w:highlight w:val="white"/>
        </w:rPr>
      </w:r>
      <w:r>
        <w:rPr>
          <w:iCs/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4. Способ прив</w:t>
      </w:r>
      <w:r>
        <w:rPr>
          <w:b/>
          <w:sz w:val="28"/>
          <w:szCs w:val="28"/>
          <w:highlight w:val="white"/>
        </w:rPr>
        <w:t xml:space="preserve">атизации краевого имущества: </w:t>
      </w:r>
      <w:r>
        <w:rPr>
          <w:sz w:val="28"/>
          <w:szCs w:val="28"/>
          <w:highlight w:val="white"/>
        </w:rPr>
        <w:t xml:space="preserve">продажа краевого имущества на конкурсе </w:t>
      </w:r>
      <w:r>
        <w:rPr>
          <w:rFonts w:eastAsiaTheme="minorEastAsia"/>
          <w:sz w:val="28"/>
          <w:szCs w:val="28"/>
          <w:highlight w:val="white"/>
        </w:rPr>
        <w:t xml:space="preserve">в электронной форме </w:t>
      </w:r>
      <w:r>
        <w:rPr>
          <w:sz w:val="28"/>
          <w:szCs w:val="28"/>
          <w:highlight w:val="white"/>
        </w:rPr>
        <w:t xml:space="preserve">на электронной площадке </w:t>
      </w:r>
      <w:r>
        <w:rPr>
          <w:sz w:val="28"/>
          <w:szCs w:val="28"/>
          <w:highlight w:val="white"/>
        </w:rPr>
        <w:br/>
        <w:t xml:space="preserve">АО «Сбербанк-Автоматизированная система торгов», включенной в Перечень юридических лиц для организации продажи государственного и муниципальног</w:t>
      </w:r>
      <w:r>
        <w:rPr>
          <w:sz w:val="28"/>
          <w:szCs w:val="28"/>
          <w:highlight w:val="white"/>
        </w:rPr>
        <w:t xml:space="preserve">о имущества в электронной форме, утвержденный распоряжением Правительства Российской Федерации от 4 декабря 2015 г. № 2488-р, (далее - Организатор), расположенной на сайте </w:t>
      </w:r>
      <w:r>
        <w:rPr>
          <w:sz w:val="28"/>
          <w:szCs w:val="28"/>
          <w:highlight w:val="white"/>
          <w:lang w:val="en-US"/>
        </w:rPr>
        <w:t xml:space="preserve">http</w:t>
      </w:r>
      <w:r>
        <w:rPr>
          <w:sz w:val="28"/>
          <w:szCs w:val="28"/>
          <w:highlight w:val="white"/>
        </w:rPr>
        <w:t xml:space="preserve">://</w:t>
      </w:r>
      <w:r>
        <w:rPr>
          <w:sz w:val="28"/>
          <w:szCs w:val="28"/>
          <w:highlight w:val="white"/>
          <w:lang w:val="en-US"/>
        </w:rPr>
        <w:t xml:space="preserve">utp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  <w:lang w:val="en-US"/>
        </w:rPr>
        <w:t xml:space="preserve">sberbank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  <w:lang w:val="en-US"/>
        </w:rPr>
        <w:t xml:space="preserve">ast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  <w:lang w:val="en-US"/>
        </w:rPr>
        <w:t xml:space="preserve">ru</w:t>
      </w:r>
      <w:r>
        <w:rPr>
          <w:sz w:val="28"/>
          <w:szCs w:val="28"/>
          <w:highlight w:val="white"/>
        </w:rPr>
        <w:t xml:space="preserve">/</w:t>
      </w:r>
      <w:r>
        <w:rPr>
          <w:sz w:val="28"/>
          <w:szCs w:val="28"/>
          <w:highlight w:val="white"/>
          <w:lang w:val="en-US"/>
        </w:rPr>
        <w:t xml:space="preserve">AP</w:t>
      </w:r>
      <w:r>
        <w:rPr>
          <w:rStyle w:val="893"/>
          <w:rFonts w:eastAsia="Arial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 сети «Интернет».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5. Форма подачи предложений о цене краевого имущества:</w:t>
      </w:r>
      <w:r>
        <w:rPr>
          <w:sz w:val="28"/>
          <w:szCs w:val="28"/>
          <w:highlight w:val="white"/>
        </w:rPr>
        <w:t xml:space="preserve"> представление предложений о цене имущества осуществляется зарегистрированным участником продажи в течение одной процедуры проведения конкурса. Подача предложений </w:t>
      </w:r>
      <w:r>
        <w:rPr>
          <w:sz w:val="28"/>
          <w:szCs w:val="28"/>
          <w:highlight w:val="white"/>
        </w:rPr>
        <w:br/>
        <w:t xml:space="preserve">о цене имущества осуществляется в «лич</w:t>
      </w:r>
      <w:r>
        <w:rPr>
          <w:sz w:val="28"/>
          <w:szCs w:val="28"/>
          <w:highlight w:val="white"/>
        </w:rPr>
        <w:t xml:space="preserve">ном кабинете» участника посредством штатного интерфейса в день и время проведения конкурса, указанные в настоящем Информационном сообщении, на электронной площадке – универсальная торговая платформа АО «Сбербанк-АСТ», размещенная на сайте http://utp.sberba</w:t>
      </w:r>
      <w:r>
        <w:rPr>
          <w:sz w:val="28"/>
          <w:szCs w:val="28"/>
          <w:highlight w:val="white"/>
        </w:rPr>
        <w:t xml:space="preserve">nk-ast.ru </w:t>
      </w:r>
      <w:r>
        <w:rPr>
          <w:sz w:val="28"/>
          <w:szCs w:val="28"/>
          <w:highlight w:val="white"/>
        </w:rPr>
        <w:br/>
        <w:t xml:space="preserve">в сети «Интернет».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6. Сроки и порядок внесения и возвращения задатка, назначение платежа, реквизиты счета: </w:t>
      </w:r>
      <w:r>
        <w:rPr>
          <w:sz w:val="28"/>
          <w:szCs w:val="28"/>
          <w:highlight w:val="white"/>
        </w:rPr>
        <w:t xml:space="preserve">для участия в конкурсе претенденты перечисляют задаток </w:t>
      </w:r>
      <w:r>
        <w:rPr>
          <w:sz w:val="28"/>
          <w:szCs w:val="28"/>
          <w:highlight w:val="white"/>
        </w:rPr>
        <w:br/>
        <w:t xml:space="preserve">в установленном настоящим Информационном сообщении размере в счет обеспечения опла</w:t>
      </w:r>
      <w:r>
        <w:rPr>
          <w:sz w:val="28"/>
          <w:szCs w:val="28"/>
          <w:highlight w:val="white"/>
        </w:rPr>
        <w:t xml:space="preserve">ты приобретаемого имущества </w:t>
      </w:r>
      <w:r>
        <w:rPr>
          <w:b/>
          <w:sz w:val="28"/>
          <w:szCs w:val="28"/>
          <w:highlight w:val="white"/>
        </w:rPr>
        <w:t xml:space="preserve">на счет Организатора - </w:t>
      </w:r>
      <w:r>
        <w:rPr>
          <w:b/>
          <w:sz w:val="28"/>
          <w:szCs w:val="28"/>
          <w:highlight w:val="white"/>
        </w:rPr>
        <w:br/>
      </w:r>
      <w:r>
        <w:rPr>
          <w:b/>
          <w:bCs/>
          <w:sz w:val="28"/>
          <w:szCs w:val="28"/>
          <w:highlight w:val="white"/>
        </w:rPr>
        <w:t xml:space="preserve">АО «Сбербанк-АСТ»; ИНН 7707308480 КПП 770401001; расчетный счет 40702810300020038047; ПАО «Сбербанк России» г. Москва; БИК 044525225; корреспондентский счет 301</w:t>
      </w:r>
      <w:r>
        <w:rPr>
          <w:b/>
          <w:bCs/>
          <w:sz w:val="28"/>
          <w:szCs w:val="28"/>
          <w:highlight w:val="white"/>
        </w:rPr>
        <w:t xml:space="preserve">01810400000000225.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944"/>
        <w:ind w:left="0" w:firstLine="709"/>
        <w:spacing w:line="280" w:lineRule="exac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до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 23:59 часов (МСК)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 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«02»</w:t>
      </w:r>
      <w:r>
        <w:rPr>
          <w:rFonts w:ascii="Times New Roman" w:hAnsi="Times New Roman" w:eastAsiaTheme="majorEastAsia"/>
          <w:b/>
          <w:bCs/>
          <w:sz w:val="28"/>
          <w:szCs w:val="28"/>
          <w:highlight w:val="white"/>
          <w:lang w:bidi="ru-RU"/>
        </w:rPr>
        <w:t xml:space="preserve"> октября 2026 г.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Перечисление денежных средств в качестве задатка (депозита) (ИНН плательщика), НДС не облагается, для участия в </w:t>
      </w:r>
      <w:r>
        <w:rPr>
          <w:sz w:val="28"/>
          <w:szCs w:val="28"/>
          <w:highlight w:val="white"/>
        </w:rPr>
        <w:t xml:space="preserve">продаже краевого имущества на конкурсе в электронной форме. </w:t>
      </w:r>
      <w:r>
        <w:rPr>
          <w:sz w:val="28"/>
          <w:szCs w:val="28"/>
          <w:highlight w:val="white"/>
        </w:rPr>
        <w:t xml:space="preserve">Лот №__.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Настоящее Информационное сообщение</w:t>
      </w:r>
      <w:r>
        <w:rPr>
          <w:sz w:val="28"/>
          <w:szCs w:val="28"/>
          <w:highlight w:val="white"/>
        </w:rPr>
        <w:t xml:space="preserve"> является публичной офертой </w:t>
      </w:r>
      <w:r>
        <w:rPr>
          <w:sz w:val="28"/>
          <w:szCs w:val="28"/>
          <w:highlight w:val="white"/>
        </w:rPr>
        <w:br/>
        <w:t xml:space="preserve">для заключения договора о задатке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 и договор о задатке считается з</w:t>
      </w:r>
      <w:r>
        <w:rPr>
          <w:sz w:val="28"/>
          <w:szCs w:val="28"/>
          <w:highlight w:val="white"/>
        </w:rPr>
        <w:t xml:space="preserve">аключенным в установленном порядке.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Лицам, перечислившим задаток для участия в конкурсе, денежные средства возвращаются в следующем порядке: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а) участникам, за исключением его победителя - в течение пяти дней с даты подведения итогов конкурса;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851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б) претенден</w:t>
      </w:r>
      <w:r>
        <w:rPr>
          <w:sz w:val="28"/>
          <w:szCs w:val="28"/>
          <w:highlight w:val="white"/>
        </w:rPr>
        <w:t xml:space="preserve">там, не допущенным к участию в конкурсе, - в течение </w:t>
      </w:r>
      <w:r>
        <w:rPr>
          <w:sz w:val="28"/>
          <w:szCs w:val="28"/>
          <w:highlight w:val="white"/>
        </w:rPr>
        <w:br/>
        <w:t xml:space="preserve">5 календарных дней со дня подписания протокола о признании претендентов участниками конкурса;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в) претендентам, отозвавшим в установленном порядке заявки до даты окончания приема заявок, - задаток возвра</w:t>
      </w:r>
      <w:r>
        <w:rPr>
          <w:sz w:val="28"/>
          <w:szCs w:val="28"/>
          <w:highlight w:val="white"/>
        </w:rPr>
        <w:t xml:space="preserve">щается в течение 5 календарных дней </w:t>
      </w:r>
      <w:r>
        <w:rPr>
          <w:sz w:val="28"/>
          <w:szCs w:val="28"/>
          <w:highlight w:val="white"/>
        </w:rPr>
        <w:br/>
        <w:t xml:space="preserve">со дня поступления уведомления об отзыве заявки на участие в конкурсе. В случае отзыва претендентом заявки позднее дня окончания приема заявок, задаток возвращается в порядке, установленном для претендентов, не допущенн</w:t>
      </w:r>
      <w:r>
        <w:rPr>
          <w:sz w:val="28"/>
          <w:szCs w:val="28"/>
          <w:highlight w:val="white"/>
        </w:rPr>
        <w:t xml:space="preserve">ых к участию в конкурсе.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 уклонении или отказе победителя конкурса от заключения </w:t>
      </w:r>
      <w:r>
        <w:rPr>
          <w:sz w:val="28"/>
          <w:szCs w:val="28"/>
          <w:highlight w:val="white"/>
        </w:rPr>
        <w:br/>
        <w:t xml:space="preserve">в установленный срок договора купли-продажи имущества результаты конкурса аннулируются продавцом, победитель утрачивает право на заключение указанного договора, задаток ем</w:t>
      </w:r>
      <w:r>
        <w:rPr>
          <w:sz w:val="28"/>
          <w:szCs w:val="28"/>
          <w:highlight w:val="white"/>
        </w:rPr>
        <w:t xml:space="preserve">у не возвращается.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7. Порядок, дата и время регистрации на сайте в сети «Интернет» претендентов и подачи заявок на участие в конкурсе: </w:t>
      </w:r>
      <w:r>
        <w:rPr>
          <w:bCs/>
          <w:sz w:val="28"/>
          <w:szCs w:val="28"/>
          <w:highlight w:val="white"/>
        </w:rPr>
        <w:t xml:space="preserve">д</w:t>
      </w:r>
      <w:r>
        <w:rPr>
          <w:sz w:val="28"/>
          <w:szCs w:val="28"/>
          <w:highlight w:val="white"/>
        </w:rPr>
        <w:t xml:space="preserve">ля участия в конкурсе претенденты должны зарегистрироваться на сайте http://utp.sberbank-ast.ru в сети «Интернет» в поря</w:t>
      </w:r>
      <w:r>
        <w:rPr>
          <w:sz w:val="28"/>
          <w:szCs w:val="28"/>
          <w:highlight w:val="white"/>
        </w:rPr>
        <w:t xml:space="preserve">дке, установленном Регламентом торговой секции «Приватизация, аренда и продажа прав» универсальной торговой платформы АО «Сбербанк-АСТ», без взимания платы.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Регистрации на электронной площадке подлежат претенденты, ранее </w:t>
      </w:r>
      <w:r>
        <w:rPr>
          <w:sz w:val="28"/>
          <w:szCs w:val="28"/>
          <w:highlight w:val="white"/>
        </w:rPr>
        <w:br/>
        <w:t xml:space="preserve">не зарегистрированные на электронн</w:t>
      </w:r>
      <w:r>
        <w:rPr>
          <w:sz w:val="28"/>
          <w:szCs w:val="28"/>
          <w:highlight w:val="white"/>
        </w:rPr>
        <w:t xml:space="preserve">ой площадке, или регистрация которых </w:t>
      </w:r>
      <w:r>
        <w:rPr>
          <w:sz w:val="28"/>
          <w:szCs w:val="28"/>
          <w:highlight w:val="white"/>
        </w:rPr>
        <w:br/>
        <w:t xml:space="preserve">на электронной площадке была ими прекращена.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возможность регистрации претендентов </w:t>
      </w:r>
      <w:r>
        <w:rPr>
          <w:sz w:val="28"/>
          <w:szCs w:val="28"/>
          <w:highlight w:val="white"/>
        </w:rPr>
        <w:br/>
        <w:t xml:space="preserve">на электронной площадке, ввод ими идентифицирующих данных (имя пользователя и пароль) и возможность изменения </w:t>
      </w:r>
      <w:r>
        <w:rPr>
          <w:sz w:val="28"/>
          <w:szCs w:val="28"/>
          <w:highlight w:val="white"/>
        </w:rPr>
        <w:t xml:space="preserve">пароля, открывает раздел, доступ к которому имеют только продавец и участники (закрытая часть электронной площадки).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Инструкция для участников торгов по работе в торговой секции «Приватизация, аренда и продажа прав» универсальной торговой платформы </w:t>
      </w:r>
      <w:r>
        <w:rPr>
          <w:sz w:val="28"/>
          <w:szCs w:val="28"/>
          <w:highlight w:val="white"/>
        </w:rPr>
        <w:br/>
        <w:t xml:space="preserve">АО «Сб</w:t>
      </w:r>
      <w:r>
        <w:rPr>
          <w:sz w:val="28"/>
          <w:szCs w:val="28"/>
          <w:highlight w:val="white"/>
        </w:rPr>
        <w:t xml:space="preserve">ербанк-АСТ» размещена по адресу: </w:t>
      </w:r>
      <w:hyperlink r:id="rId10" w:tooltip="http://utp.sberbank-ast.ru/AP/Notice/652/Instructions" w:history="1">
        <w:r>
          <w:rPr>
            <w:rStyle w:val="893"/>
            <w:rFonts w:eastAsia="Arial"/>
            <w:sz w:val="28"/>
            <w:szCs w:val="28"/>
            <w:highlight w:val="white"/>
          </w:rPr>
          <w:t xml:space="preserve">http://utp.sberbank-ast.ru/AP/Notice/652/Instructions</w:t>
        </w:r>
      </w:hyperlink>
      <w:r>
        <w:rPr>
          <w:rStyle w:val="893"/>
          <w:sz w:val="28"/>
          <w:szCs w:val="28"/>
          <w:highlight w:val="white"/>
          <w:u w:val="non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</w:t>
      </w:r>
      <w:r>
        <w:rPr>
          <w:sz w:val="28"/>
          <w:szCs w:val="28"/>
          <w:highlight w:val="white"/>
        </w:rPr>
        <w:br/>
        <w:t xml:space="preserve">в форме электронных документов либо электронных образов документов (документов на бумажном носителе, преобразованных в </w:t>
      </w:r>
      <w:r>
        <w:rPr>
          <w:sz w:val="28"/>
          <w:szCs w:val="28"/>
          <w:highlight w:val="white"/>
        </w:rPr>
        <w:t xml:space="preserve">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Прием заявок и</w:t>
      </w:r>
      <w:r>
        <w:rPr>
          <w:sz w:val="28"/>
          <w:szCs w:val="28"/>
          <w:highlight w:val="white"/>
        </w:rPr>
        <w:t xml:space="preserve"> прилагаемых к ним документов начинается с даты и времени, указанных в настоящем Информационном сообщении.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Подача заявки на участие в конкурсе осуществляется претендентом, зарегистрированным на сайте в сети «Интернет», указанном в настоящем Информационном </w:t>
      </w:r>
      <w:r>
        <w:rPr>
          <w:sz w:val="28"/>
          <w:szCs w:val="28"/>
          <w:highlight w:val="white"/>
        </w:rPr>
        <w:t xml:space="preserve">сообщении, из «личного кабинета» посредством штатного интерфейса электронной площадки АО «Сбербанк-АСТ» торговой секции «Приватизация, аренда и продажа прав».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Заявка подается путем заполнения ее электронной формы, размещенной </w:t>
      </w:r>
      <w:r>
        <w:rPr>
          <w:sz w:val="28"/>
          <w:szCs w:val="28"/>
          <w:highlight w:val="white"/>
        </w:rPr>
        <w:br/>
        <w:t xml:space="preserve">в открытой для доступа неогра</w:t>
      </w:r>
      <w:r>
        <w:rPr>
          <w:sz w:val="28"/>
          <w:szCs w:val="28"/>
          <w:highlight w:val="white"/>
        </w:rPr>
        <w:t xml:space="preserve">ниченного круга лиц части электронной площадки (открытая часть электронной площадки), с приложением электронных документов в соответствии с перечнем, приведенным в настоящем Информационном сообщении, заверенных электронной подписью претендента либо лица, и</w:t>
      </w:r>
      <w:r>
        <w:rPr>
          <w:sz w:val="28"/>
          <w:szCs w:val="28"/>
          <w:highlight w:val="white"/>
        </w:rPr>
        <w:t xml:space="preserve">меющего право действовать от имени претендента: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физические лица: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копии всех листов документа, удостоверяющего личность;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юридические лица: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</w:t>
      </w:r>
      <w:r>
        <w:rPr>
          <w:bCs/>
          <w:sz w:val="28"/>
          <w:szCs w:val="28"/>
          <w:highlight w:val="white"/>
        </w:rPr>
        <w:t xml:space="preserve">заверенные копии учредительных документов</w:t>
      </w:r>
      <w:r>
        <w:rPr>
          <w:sz w:val="28"/>
          <w:szCs w:val="28"/>
          <w:highlight w:val="white"/>
        </w:rPr>
        <w:t xml:space="preserve">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документ, содержащий сведения о доле Российской Федерации, субъекта</w:t>
      </w:r>
      <w:r>
        <w:rPr>
          <w:sz w:val="28"/>
          <w:szCs w:val="28"/>
          <w:highlight w:val="white"/>
        </w:rPr>
        <w:t xml:space="preserve">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документ, кот</w:t>
      </w:r>
      <w:r>
        <w:rPr>
          <w:sz w:val="28"/>
          <w:szCs w:val="28"/>
          <w:highlight w:val="white"/>
        </w:rPr>
        <w:t xml:space="preserve">орый подтверждает полномочия руководителя юридического лица на осуществление действий от имени юридического лица (копия решения </w:t>
      </w:r>
      <w:r>
        <w:rPr>
          <w:sz w:val="28"/>
          <w:szCs w:val="28"/>
          <w:highlight w:val="white"/>
        </w:rPr>
        <w:br/>
        <w:t xml:space="preserve">о назначении этого лица или о его избрании) и в соответствии с которым руководитель юридического лица обладает правом действова</w:t>
      </w:r>
      <w:r>
        <w:rPr>
          <w:sz w:val="28"/>
          <w:szCs w:val="28"/>
          <w:highlight w:val="white"/>
        </w:rPr>
        <w:t xml:space="preserve">ть от имени юридического лица без доверенности.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случае, если от имени претендента действует его представитель по доверенности, к заявке должна быть приложена доверенность на осуществление действий от имени претендента, оформленная в установленном порядке, или нотариально заверенная копия такой доверен</w:t>
      </w:r>
      <w:r>
        <w:rPr>
          <w:sz w:val="28"/>
          <w:szCs w:val="28"/>
          <w:highlight w:val="white"/>
        </w:rPr>
        <w:t xml:space="preserve">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Наличие электронной подписи озн</w:t>
      </w:r>
      <w:r>
        <w:rPr>
          <w:sz w:val="28"/>
          <w:szCs w:val="28"/>
          <w:highlight w:val="white"/>
        </w:rPr>
        <w:t xml:space="preserve">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Одно лицо имеет право подать только одну заявку на оди</w:t>
      </w:r>
      <w:r>
        <w:rPr>
          <w:sz w:val="28"/>
          <w:szCs w:val="28"/>
          <w:highlight w:val="white"/>
        </w:rPr>
        <w:t xml:space="preserve">н объект приватизации.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Заявка должна соответствовать требованиям Продавца.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подачу претендентами заявок при условии заполнения ими всех полей, принятие и регистрацию в электронных журналах заявок и прилагаемых к ним документов (в жу</w:t>
      </w:r>
      <w:r>
        <w:rPr>
          <w:sz w:val="28"/>
          <w:szCs w:val="28"/>
          <w:highlight w:val="white"/>
        </w:rPr>
        <w:t xml:space="preserve">рнале приема заявок). Каждой заявке присваивается номер с указанием даты и времени приема. В течение одного часа </w:t>
      </w:r>
      <w:r>
        <w:rPr>
          <w:sz w:val="28"/>
          <w:szCs w:val="28"/>
          <w:highlight w:val="white"/>
        </w:rPr>
        <w:br/>
        <w:t xml:space="preserve">со времени поступления заявки Организатор сообщает претенденту о ее поступлении путем направления уведомления с приложением электронных копий </w:t>
      </w:r>
      <w:r>
        <w:rPr>
          <w:sz w:val="28"/>
          <w:szCs w:val="28"/>
          <w:highlight w:val="white"/>
        </w:rPr>
        <w:t xml:space="preserve">зарегистрированной заявки и прилагаемых к ней документов.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конфиденциальность сведений о поступивших заявках и прилагаемых к ним документах, а также сведений о лицах, подавших заявки, до момента размещения на электронной площадке ин</w:t>
      </w:r>
      <w:r>
        <w:rPr>
          <w:sz w:val="28"/>
          <w:szCs w:val="28"/>
          <w:highlight w:val="white"/>
        </w:rPr>
        <w:t xml:space="preserve">формации об итогах приема заявок (определения участников).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 Уведомление об отзыве заявки вместе с заявкой в тече</w:t>
      </w:r>
      <w:r>
        <w:rPr>
          <w:sz w:val="28"/>
          <w:szCs w:val="28"/>
          <w:highlight w:val="white"/>
        </w:rPr>
        <w:t xml:space="preserve">ние одного часа поступает </w:t>
      </w:r>
      <w:r>
        <w:rPr>
          <w:sz w:val="28"/>
          <w:szCs w:val="28"/>
          <w:highlight w:val="white"/>
        </w:rPr>
        <w:br/>
        <w:t xml:space="preserve">в «личный кабинет» Продавца, о чем претенденту направляется соответствующее уведомление.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прекращение подачи заявок по истечении срока </w:t>
      </w:r>
      <w:r>
        <w:rPr>
          <w:sz w:val="28"/>
          <w:szCs w:val="28"/>
          <w:highlight w:val="white"/>
        </w:rPr>
        <w:br/>
        <w:t xml:space="preserve">их приема, указанного в настоящем Информационном сообщении.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99"/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Заявки с </w:t>
      </w:r>
      <w:r>
        <w:rPr>
          <w:sz w:val="28"/>
          <w:szCs w:val="28"/>
          <w:highlight w:val="white"/>
        </w:rPr>
        <w:t xml:space="preserve">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Комиссия по проведению продажи государственного краевого имущества </w:t>
      </w:r>
      <w:r>
        <w:rPr>
          <w:sz w:val="28"/>
          <w:szCs w:val="28"/>
          <w:highlight w:val="white"/>
        </w:rPr>
        <w:br/>
        <w:t xml:space="preserve">в порядке приватизации вправе продлить срок подачи заявок на участие </w:t>
      </w:r>
      <w:r>
        <w:rPr>
          <w:sz w:val="28"/>
          <w:szCs w:val="28"/>
          <w:highlight w:val="white"/>
        </w:rPr>
        <w:t xml:space="preserve">в конкурсе </w:t>
      </w:r>
      <w:r>
        <w:rPr>
          <w:sz w:val="28"/>
          <w:szCs w:val="28"/>
          <w:highlight w:val="white"/>
        </w:rPr>
        <w:br/>
        <w:t xml:space="preserve">и перенести принятие решения о победителе на другую дату, а также принять решение об отказе от проведения конкурса.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8. Место, даты и время</w:t>
      </w:r>
      <w:r>
        <w:rPr>
          <w:b/>
          <w:sz w:val="28"/>
          <w:szCs w:val="28"/>
          <w:highlight w:val="white"/>
        </w:rPr>
        <w:t xml:space="preserve"> начала и окончания подачи заявок и проведения конкурса: </w:t>
      </w:r>
      <w:r>
        <w:rPr>
          <w:sz w:val="28"/>
          <w:szCs w:val="28"/>
          <w:highlight w:val="white"/>
        </w:rPr>
        <w:t xml:space="preserve">при исчислении сроков, указанных в настоящем Инфо</w:t>
      </w:r>
      <w:r>
        <w:rPr>
          <w:sz w:val="28"/>
          <w:szCs w:val="28"/>
          <w:highlight w:val="white"/>
        </w:rPr>
        <w:t xml:space="preserve">рмационном сообщении, принимается время сервера электронной торговой площадки - московское.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spacing w:line="280" w:lineRule="exact"/>
        <w:widowControl w:val="off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начала подачи заявок</w:t>
      </w:r>
      <w:r>
        <w:rPr>
          <w:sz w:val="28"/>
          <w:szCs w:val="28"/>
          <w:highlight w:val="white"/>
        </w:rPr>
        <w:t xml:space="preserve"> на участие в конкурсе: </w:t>
      </w:r>
      <w:r>
        <w:rPr>
          <w:sz w:val="28"/>
          <w:szCs w:val="28"/>
          <w:highlight w:val="white"/>
        </w:rPr>
        <w:br/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04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b/>
          <w:bCs/>
          <w:sz w:val="28"/>
          <w:szCs w:val="28"/>
          <w:highlight w:val="white"/>
        </w:rPr>
        <w:t xml:space="preserve">с</w:t>
      </w:r>
      <w:r>
        <w:rPr>
          <w:b/>
          <w:sz w:val="28"/>
          <w:szCs w:val="28"/>
          <w:highlight w:val="white"/>
        </w:rPr>
        <w:t xml:space="preserve">ентября 2026 г.</w:t>
      </w:r>
      <w:r>
        <w:rPr>
          <w:sz w:val="28"/>
          <w:szCs w:val="28"/>
          <w:highlight w:val="white"/>
        </w:rPr>
        <w:t xml:space="preserve">,</w:t>
      </w:r>
      <w:r>
        <w:rPr>
          <w:b/>
          <w:sz w:val="28"/>
          <w:szCs w:val="28"/>
          <w:highlight w:val="white"/>
        </w:rPr>
        <w:t xml:space="preserve"> 00.00 час. (московское время)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окончания подачи заявок</w:t>
      </w:r>
      <w:r>
        <w:rPr>
          <w:sz w:val="28"/>
          <w:szCs w:val="28"/>
          <w:highlight w:val="white"/>
        </w:rPr>
        <w:t xml:space="preserve"> на участие в конкурсе: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br/>
      </w:r>
      <w:r>
        <w:rPr>
          <w:b/>
          <w:bCs/>
          <w:sz w:val="28"/>
          <w:szCs w:val="28"/>
          <w:highlight w:val="white"/>
        </w:rPr>
        <w:t xml:space="preserve">01</w:t>
      </w:r>
      <w:r>
        <w:rPr>
          <w:b/>
          <w:bCs/>
          <w:sz w:val="28"/>
          <w:szCs w:val="28"/>
          <w:highlight w:val="white"/>
        </w:rPr>
        <w:t xml:space="preserve"> ок</w:t>
      </w:r>
      <w:r>
        <w:rPr>
          <w:b/>
          <w:bCs/>
          <w:sz w:val="28"/>
          <w:szCs w:val="28"/>
          <w:highlight w:val="white"/>
        </w:rPr>
        <w:t xml:space="preserve">тября</w:t>
      </w:r>
      <w:r>
        <w:rPr>
          <w:b/>
          <w:sz w:val="28"/>
          <w:szCs w:val="28"/>
          <w:highlight w:val="white"/>
        </w:rPr>
        <w:t xml:space="preserve"> 2026 г., 00.00 час. (московское время)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Место подачи заявок:</w:t>
      </w:r>
      <w:r>
        <w:rPr>
          <w:sz w:val="28"/>
          <w:szCs w:val="28"/>
          <w:highlight w:val="white"/>
        </w:rPr>
        <w:t xml:space="preserve"> электронная площадка – универсальная торговая платформа АО «Сбербанк-АСТ», размещенная на сайте http://utp.sberbank-ast.ru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в сети «Интернет» (торговая секция «Приватизация, аренда и продажа прав»).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рассмотрения заявок и признания претендентов участниками конкурса: 03 октября 2026 г.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Не позднее следующего рабочего дня после дня подписания протокола </w:t>
      </w:r>
      <w:r>
        <w:rPr>
          <w:sz w:val="28"/>
          <w:szCs w:val="28"/>
          <w:highlight w:val="white"/>
        </w:rPr>
        <w:br/>
        <w:t xml:space="preserve">о признании претенденто</w:t>
      </w:r>
      <w:r>
        <w:rPr>
          <w:sz w:val="28"/>
          <w:szCs w:val="28"/>
          <w:highlight w:val="white"/>
        </w:rPr>
        <w:t xml:space="preserve">в участниками конкурса всем претендентам, подавшим заявки, направляется уведомление о признании их участниками конкурса </w:t>
      </w:r>
      <w:r>
        <w:rPr>
          <w:sz w:val="28"/>
          <w:szCs w:val="28"/>
          <w:highlight w:val="white"/>
        </w:rPr>
        <w:br/>
        <w:t xml:space="preserve">или об отказе в признании участниками конкурса с указанием оснований отказа.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уведомление претендентов о приня</w:t>
      </w:r>
      <w:r>
        <w:rPr>
          <w:sz w:val="28"/>
          <w:szCs w:val="28"/>
          <w:highlight w:val="white"/>
        </w:rPr>
        <w:t xml:space="preserve">том Продавцом решении о признании их участниками либо отказе в доступе к участию в продаже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Дата и время проведения конкурса: 05 октября 2026 г., 07.00 час. (московское время).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Место проведения ко</w:t>
      </w:r>
      <w:r>
        <w:rPr>
          <w:b/>
          <w:sz w:val="28"/>
          <w:szCs w:val="28"/>
          <w:highlight w:val="white"/>
        </w:rPr>
        <w:t xml:space="preserve">нкурса и подведения итогов: </w:t>
      </w:r>
      <w:r>
        <w:rPr>
          <w:sz w:val="28"/>
          <w:szCs w:val="28"/>
          <w:highlight w:val="white"/>
        </w:rPr>
        <w:t xml:space="preserve">электронная площадка –</w:t>
      </w:r>
      <w:r>
        <w:rPr>
          <w:sz w:val="28"/>
          <w:szCs w:val="28"/>
          <w:highlight w:val="white"/>
        </w:rPr>
        <w:t xml:space="preserve"> универсальная торговая платформа АО «Сбербанк-АСТ», размещенная на сайте http://utp.sberbank-ast.ru в сети «Интернет» (торговая секция «Приватизация, аренда и продажа прав»).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Организатор обеспечивает равный доступ участников к процедуре продажи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9. </w:t>
      </w:r>
      <w:r>
        <w:rPr>
          <w:b/>
          <w:bCs/>
          <w:sz w:val="28"/>
          <w:szCs w:val="28"/>
          <w:highlight w:val="white"/>
        </w:rPr>
        <w:t xml:space="preserve">Условия конкурса при продаже объекта культурного наследия регионального значения «Памятник - «Дом Н.А. Рогова» 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highlight w:val="white"/>
        </w:rPr>
      </w:pPr>
      <w:r>
        <w:rPr>
          <w:sz w:val="28"/>
          <w:szCs w:val="28"/>
          <w:highlight w:val="white"/>
        </w:rPr>
        <w:t xml:space="preserve">1) Обязанность нового собственника по выполнени</w:t>
      </w:r>
      <w:r>
        <w:rPr>
          <w:sz w:val="28"/>
          <w:szCs w:val="28"/>
          <w:highlight w:val="white"/>
        </w:rPr>
        <w:t xml:space="preserve">ю требований </w:t>
      </w:r>
      <w:r>
        <w:rPr>
          <w:sz w:val="28"/>
          <w:szCs w:val="28"/>
          <w:highlight w:val="white"/>
        </w:rPr>
        <w:br/>
        <w:t xml:space="preserve">к сохранению Объекта, к содержанию и использованию Объекта, </w:t>
      </w:r>
      <w:r>
        <w:rPr>
          <w:sz w:val="28"/>
          <w:szCs w:val="28"/>
          <w:highlight w:val="white"/>
        </w:rPr>
        <w:br/>
        <w:t xml:space="preserve">к обеспечению </w:t>
      </w:r>
      <w:r>
        <w:rPr>
          <w:sz w:val="28"/>
          <w:szCs w:val="28"/>
          <w:highlight w:val="white"/>
        </w:rPr>
        <w:t xml:space="preserve">доступа к Объекту, к размещению наружной рекламы, </w:t>
      </w:r>
      <w:r>
        <w:rPr>
          <w:sz w:val="28"/>
          <w:szCs w:val="28"/>
          <w:highlight w:val="white"/>
        </w:rPr>
        <w:br/>
        <w:t xml:space="preserve">к установке надписей и обозначений, содержащих информацию об объекте культурног</w:t>
      </w:r>
      <w:r>
        <w:rPr>
          <w:sz w:val="28"/>
          <w:szCs w:val="28"/>
          <w:highlight w:val="white"/>
        </w:rPr>
        <w:t xml:space="preserve">о наследия, и иных требований, установленных в охранном обязательстве собственника или иного законного владельца объекта культ</w:t>
      </w:r>
      <w:r>
        <w:rPr>
          <w:sz w:val="28"/>
          <w:szCs w:val="28"/>
          <w:highlight w:val="white"/>
        </w:rPr>
        <w:t xml:space="preserve">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«Памятник – «Дом Н.А. Рогова» с регистрационным номером объекта культурного наследия </w:t>
        <w:br/>
        <w:t xml:space="preserve">в Реестре </w:t>
      </w:r>
      <w:r>
        <w:rPr>
          <w:sz w:val="28"/>
          <w:szCs w:val="28"/>
          <w:highlight w:val="white"/>
        </w:rPr>
        <w:t xml:space="preserve">591610579300005</w:t>
      </w:r>
      <w:r>
        <w:rPr>
          <w:sz w:val="28"/>
          <w:szCs w:val="28"/>
          <w:highlight w:val="white"/>
        </w:rPr>
        <w:t xml:space="preserve">, утвержденного приказом </w:t>
      </w:r>
      <w:r>
        <w:rPr>
          <w:sz w:val="28"/>
          <w:szCs w:val="28"/>
          <w:highlight w:val="white"/>
        </w:rPr>
        <w:t xml:space="preserve">Государственной инспекции по охране объектов культурного наследия </w:t>
      </w:r>
      <w:r>
        <w:rPr>
          <w:sz w:val="28"/>
          <w:szCs w:val="28"/>
          <w:highlight w:val="white"/>
        </w:rPr>
        <w:t xml:space="preserve">Пермского края от 09 февраля 2021 г. </w:t>
        <w:br/>
        <w:t xml:space="preserve">№ Пр55-01-06-36 «Об утверждении охранного обязательства собственника или иного законного владельца объекта культурного наследия регионального значения </w:t>
        <w:br/>
        <w:t xml:space="preserve">«Дом Н.А. Рогова</w:t>
      </w:r>
      <w:r>
        <w:rPr>
          <w:sz w:val="28"/>
          <w:szCs w:val="28"/>
          <w:highlight w:val="white"/>
        </w:rPr>
        <w:t xml:space="preserve">» (</w:t>
      </w:r>
      <w:r>
        <w:rPr>
          <w:sz w:val="28"/>
          <w:szCs w:val="28"/>
          <w:highlight w:val="white"/>
        </w:rPr>
        <w:t xml:space="preserve">в редакции приказов</w:t>
      </w:r>
      <w:r>
        <w:rPr>
          <w:sz w:val="28"/>
          <w:szCs w:val="28"/>
          <w:highlight w:val="white"/>
        </w:rPr>
        <w:t xml:space="preserve"> от 17 февраля 2023</w:t>
      </w:r>
      <w:r>
        <w:rPr>
          <w:sz w:val="28"/>
          <w:szCs w:val="28"/>
          <w:highlight w:val="white"/>
        </w:rPr>
        <w:t xml:space="preserve"> г. № Пр55-01-06-34, </w:t>
        <w:br/>
        <w:t xml:space="preserve">от 14 мая 2026 г. № Пр55-01-06-179)</w:t>
      </w:r>
      <w:r>
        <w:rPr>
          <w:sz w:val="28"/>
          <w:szCs w:val="28"/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2) </w:t>
      </w:r>
      <w:r>
        <w:rPr>
          <w:sz w:val="28"/>
          <w:szCs w:val="28"/>
          <w:highlight w:val="white"/>
        </w:rPr>
        <w:t xml:space="preserve">Обязанность нового собственника по выполнению в о</w:t>
      </w:r>
      <w:r>
        <w:rPr>
          <w:sz w:val="28"/>
          <w:szCs w:val="28"/>
          <w:highlight w:val="white"/>
        </w:rPr>
        <w:t xml:space="preserve">тношении Объекта требований, предусмотренных статьями 47.2 – 47.4 Федерального закона от 25 июня </w:t>
      </w:r>
      <w:r>
        <w:rPr>
          <w:sz w:val="28"/>
          <w:szCs w:val="28"/>
          <w:highlight w:val="white"/>
        </w:rPr>
        <w:br/>
        <w:t xml:space="preserve">2002 г. № 73-ФЗ «Об объектах культурного наследия (памятниках истории </w:t>
      </w:r>
      <w:r>
        <w:rPr>
          <w:sz w:val="28"/>
          <w:szCs w:val="28"/>
          <w:highlight w:val="white"/>
        </w:rPr>
        <w:br/>
        <w:t xml:space="preserve">и культуры) народов Российской Федерац</w:t>
      </w:r>
      <w:r>
        <w:rPr>
          <w:sz w:val="28"/>
          <w:szCs w:val="28"/>
          <w:highlight w:val="white"/>
        </w:rPr>
        <w:t xml:space="preserve">ии», а также иных требований, установленных законодательством в отношении объектов культурного наследия.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3) Обязанность нового собственника по обращению в Государственную инспекцию по охране объектов культурного наследия Пермского края за заданием </w:t>
      </w:r>
      <w:r>
        <w:rPr>
          <w:sz w:val="28"/>
          <w:szCs w:val="28"/>
          <w:highlight w:val="white"/>
        </w:rPr>
        <w:br/>
        <w:t xml:space="preserve">на пров</w:t>
      </w:r>
      <w:r>
        <w:rPr>
          <w:sz w:val="28"/>
          <w:szCs w:val="28"/>
          <w:highlight w:val="white"/>
        </w:rPr>
        <w:t xml:space="preserve">едение работ по сохранению объекта культурного наследия в срок не позднее 30 дней с даты регистрации перехода права собственности на Объект.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4) </w:t>
      </w:r>
      <w:r>
        <w:rPr>
          <w:sz w:val="28"/>
          <w:szCs w:val="28"/>
          <w:highlight w:val="white"/>
        </w:rPr>
        <w:t xml:space="preserve">Обязанность нового собственника по обеспечению разработки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и согласовани</w:t>
      </w:r>
      <w:bookmarkStart w:id="0" w:name="_GoBack"/>
      <w:r>
        <w:rPr>
          <w:highlight w:val="white"/>
        </w:rPr>
      </w:r>
      <w:bookmarkEnd w:id="0"/>
      <w:r>
        <w:rPr>
          <w:sz w:val="28"/>
          <w:szCs w:val="28"/>
          <w:highlight w:val="white"/>
        </w:rPr>
        <w:t xml:space="preserve">ю</w:t>
      </w:r>
      <w:r>
        <w:rPr>
          <w:sz w:val="28"/>
          <w:szCs w:val="28"/>
          <w:highlight w:val="white"/>
        </w:rPr>
        <w:t xml:space="preserve"> проектной документации по сохранению п</w:t>
      </w:r>
      <w:r>
        <w:rPr>
          <w:sz w:val="28"/>
          <w:szCs w:val="28"/>
          <w:highlight w:val="white"/>
        </w:rPr>
        <w:t xml:space="preserve">риобретённого объекта культурного насл</w:t>
      </w:r>
      <w:r>
        <w:rPr>
          <w:sz w:val="28"/>
          <w:szCs w:val="28"/>
          <w:highlight w:val="white"/>
        </w:rPr>
        <w:t xml:space="preserve">едия в соответствии со ст. 45 Федерального закона от 25 июня </w:t>
      </w:r>
      <w:r>
        <w:rPr>
          <w:sz w:val="28"/>
          <w:szCs w:val="28"/>
          <w:highlight w:val="white"/>
        </w:rPr>
        <w:br/>
        <w:t xml:space="preserve">2002 г. № 73-ФЗ «Об объектах культурного наследия (памятниках истории </w:t>
      </w:r>
      <w:r>
        <w:rPr>
          <w:sz w:val="28"/>
          <w:szCs w:val="28"/>
          <w:highlight w:val="white"/>
        </w:rPr>
        <w:br/>
        <w:t xml:space="preserve">и культуры) народов Российской Федерации» в срок не позднее 1 года с даты регистрации</w:t>
      </w:r>
      <w:r>
        <w:rPr>
          <w:sz w:val="28"/>
          <w:szCs w:val="28"/>
          <w:highlight w:val="white"/>
        </w:rPr>
        <w:t xml:space="preserve"> перехода права собственности на Объект.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5) Обязанность нового собственника по проведению работ по сохранению Объекта в соответствии с требованиями, предусмотренными охранным обязательством</w:t>
      </w:r>
      <w:r>
        <w:rPr>
          <w:sz w:val="28"/>
          <w:szCs w:val="28"/>
          <w:highlight w:val="white"/>
        </w:rPr>
        <w:t xml:space="preserve"> в срок до 30 декабря 2029 г.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6) Экономическое обоснование в силу прямого указания федерального законодательства: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 статья 29 Федерального закона от 21 декабря 2001 г. № 178-</w:t>
      </w:r>
      <w:r>
        <w:rPr>
          <w:sz w:val="28"/>
          <w:szCs w:val="28"/>
          <w:highlight w:val="white"/>
        </w:rPr>
        <w:t xml:space="preserve">ФЗ </w:t>
      </w:r>
      <w:r>
        <w:rPr>
          <w:sz w:val="28"/>
          <w:szCs w:val="28"/>
          <w:highlight w:val="white"/>
        </w:rPr>
        <w:br/>
        <w:t xml:space="preserve">«О приватизации государственного и муниципального имущества»;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 статья 48 Федерального закона от 25 июня 2002 г. № 73-ФЗ «Об объектах культурного наследия (памятниках истории и культуры) народов Российской Федерации».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7) Срок исполнения условий конкурс</w:t>
      </w:r>
      <w:r>
        <w:rPr>
          <w:sz w:val="28"/>
          <w:szCs w:val="28"/>
          <w:highlight w:val="white"/>
        </w:rPr>
        <w:t xml:space="preserve">а: до 30 декабря 2029 г.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8) Порядок подтверждения победителем конкурса исполнения условий конкурса: устанавливается в договоре купли-продажи (приложение </w:t>
      </w:r>
      <w:r>
        <w:rPr>
          <w:sz w:val="28"/>
          <w:szCs w:val="28"/>
          <w:highlight w:val="white"/>
        </w:rPr>
        <w:br/>
        <w:t xml:space="preserve">к информационному сообщению).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Внесение изменений и дополнений в условия конкурса и обязательства побед</w:t>
      </w:r>
      <w:r>
        <w:rPr>
          <w:sz w:val="28"/>
          <w:szCs w:val="28"/>
          <w:highlight w:val="white"/>
        </w:rPr>
        <w:t xml:space="preserve">ителя после заключения договора купли-продажи не допускается, </w:t>
      </w:r>
      <w:r>
        <w:rPr>
          <w:sz w:val="28"/>
          <w:szCs w:val="28"/>
          <w:highlight w:val="white"/>
        </w:rPr>
        <w:br/>
        <w:t xml:space="preserve">за исключением случаев, предусмотренных статьей 451 Гражданского кодекса Российской Федерации.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9) Покупатель (новый собственник) не может отчуждать Объект третьим лицам до подписания акта прием</w:t>
      </w:r>
      <w:r>
        <w:rPr>
          <w:sz w:val="28"/>
          <w:szCs w:val="28"/>
          <w:highlight w:val="white"/>
        </w:rPr>
        <w:t xml:space="preserve">ки выполненных работ по сохранению объекта культурного наследия.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highlight w:val="white"/>
        </w:rPr>
      </w:r>
      <w:bookmarkStart w:id="1" w:name="Par2"/>
      <w:r>
        <w:rPr>
          <w:highlight w:val="white"/>
        </w:rPr>
      </w:r>
      <w:bookmarkEnd w:id="1"/>
      <w:r>
        <w:rPr>
          <w:sz w:val="28"/>
          <w:szCs w:val="28"/>
          <w:highlight w:val="white"/>
        </w:rPr>
        <w:t xml:space="preserve">10) В случае нарушения новым собственником Объекта существенных условий договора купли-продажи договор купли-продажи подлежит расторжению.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11) В случае расторжения договора купли-продажи Объ</w:t>
      </w:r>
      <w:r>
        <w:rPr>
          <w:sz w:val="28"/>
          <w:szCs w:val="28"/>
          <w:highlight w:val="white"/>
        </w:rPr>
        <w:t xml:space="preserve">екта в связи </w:t>
      </w:r>
      <w:r>
        <w:rPr>
          <w:sz w:val="28"/>
          <w:szCs w:val="28"/>
          <w:highlight w:val="white"/>
        </w:rPr>
        <w:br/>
        <w:t xml:space="preserve">с нарушением новым собственником обязанности выполнить в срок </w:t>
      </w:r>
      <w:r>
        <w:rPr>
          <w:sz w:val="28"/>
          <w:szCs w:val="28"/>
          <w:highlight w:val="white"/>
        </w:rPr>
        <w:br/>
        <w:t xml:space="preserve">и в полном объеме условия конкурса Объект подлежит возврату </w:t>
      </w:r>
      <w:r>
        <w:rPr>
          <w:sz w:val="28"/>
          <w:szCs w:val="28"/>
          <w:highlight w:val="white"/>
        </w:rPr>
        <w:br/>
        <w:t xml:space="preserve">в собственность Пермского края без возмещения собственнику стоимости Объекта, включая неотделимые улучшения, и без ком</w:t>
      </w:r>
      <w:r>
        <w:rPr>
          <w:sz w:val="28"/>
          <w:szCs w:val="28"/>
          <w:highlight w:val="white"/>
        </w:rPr>
        <w:t xml:space="preserve">пенсации расходов, связанных </w:t>
      </w:r>
      <w:r>
        <w:rPr>
          <w:sz w:val="28"/>
          <w:szCs w:val="28"/>
          <w:highlight w:val="white"/>
        </w:rPr>
        <w:br/>
        <w:t xml:space="preserve">с ис</w:t>
      </w:r>
      <w:r>
        <w:rPr>
          <w:sz w:val="28"/>
          <w:szCs w:val="28"/>
          <w:highlight w:val="white"/>
        </w:rPr>
        <w:t xml:space="preserve">полнением договора купли-продажи.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12) Приватизация Объекта осуществляется с одновременным предоставлением победителю конкурса </w:t>
      </w:r>
      <w:r>
        <w:rPr>
          <w:sz w:val="28"/>
          <w:szCs w:val="28"/>
          <w:highlight w:val="white"/>
        </w:rPr>
        <w:t xml:space="preserve">з</w:t>
      </w:r>
      <w:r>
        <w:rPr>
          <w:sz w:val="28"/>
          <w:szCs w:val="28"/>
          <w:highlight w:val="white"/>
        </w:rPr>
        <w:t xml:space="preserve">емельного участка площадью 8394 кв.м. с кадастровым номером 59:20:0010310:155, категория земель: земли населенных пунктов, виды разрешенного использования: культурное развитие, адрес: Российская Федерация, Пермский край, муниципальный округ Ильинский, посе</w:t>
      </w:r>
      <w:r>
        <w:rPr>
          <w:sz w:val="28"/>
          <w:szCs w:val="28"/>
          <w:highlight w:val="white"/>
        </w:rPr>
        <w:t xml:space="preserve">лок Ильинский, улица 50 лет Октября, з/у 88</w:t>
      </w:r>
      <w:r>
        <w:rPr>
          <w:sz w:val="28"/>
          <w:szCs w:val="28"/>
          <w:highlight w:val="white"/>
        </w:rPr>
        <w:t xml:space="preserve">, занимаемого Объектом культурного нас</w:t>
      </w:r>
      <w:r>
        <w:rPr>
          <w:sz w:val="28"/>
          <w:szCs w:val="28"/>
          <w:highlight w:val="white"/>
        </w:rPr>
        <w:t xml:space="preserve">ледия </w:t>
      </w:r>
      <w:r>
        <w:rPr>
          <w:sz w:val="28"/>
          <w:szCs w:val="28"/>
          <w:highlight w:val="white"/>
        </w:rPr>
        <w:t xml:space="preserve">и необходимого </w:t>
        <w:br/>
        <w:t xml:space="preserve">для его использования, в аренду.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13) Размер арендной платы за земельный участок, на котором расположен Объект, устанавливается равным одному рублю в год на весь срок выполнения условий конкурса. 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10. Правила проведения конкурса и опр</w:t>
      </w:r>
      <w:r>
        <w:rPr>
          <w:b/>
          <w:sz w:val="28"/>
          <w:szCs w:val="28"/>
          <w:highlight w:val="white"/>
        </w:rPr>
        <w:t xml:space="preserve">еделения победителя: </w:t>
      </w:r>
      <w:r>
        <w:rPr>
          <w:sz w:val="28"/>
          <w:szCs w:val="28"/>
          <w:highlight w:val="white"/>
        </w:rPr>
        <w:t xml:space="preserve">конкурс проводится в день и время, указанные в Информационном сообщении о проведении конкурса, путем последовательного повышения участниками начальной цены продажи на величину, равную либо кратную величине «шага конкурса».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«Шаг конкурс</w:t>
      </w:r>
      <w:r>
        <w:rPr>
          <w:sz w:val="28"/>
          <w:szCs w:val="28"/>
          <w:highlight w:val="white"/>
        </w:rPr>
        <w:t xml:space="preserve">а» устанавливается продавцом в фиксированной сумме, составляющей не более 5 процентов начальной цены продажи, и не изменяется </w:t>
      </w:r>
      <w:r>
        <w:rPr>
          <w:sz w:val="28"/>
          <w:szCs w:val="28"/>
          <w:highlight w:val="white"/>
        </w:rPr>
        <w:br/>
        <w:t xml:space="preserve">в течение всего конкурса.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Во время проведения процедуры конкурса оператор электронной площадки обеспечивает доступ участников к з</w:t>
      </w:r>
      <w:r>
        <w:rPr>
          <w:sz w:val="28"/>
          <w:szCs w:val="28"/>
          <w:highlight w:val="white"/>
        </w:rPr>
        <w:t xml:space="preserve">акрытой части электронной площадки </w:t>
      </w:r>
      <w:r>
        <w:rPr>
          <w:sz w:val="28"/>
          <w:szCs w:val="28"/>
          <w:highlight w:val="white"/>
        </w:rPr>
        <w:br/>
        <w:t xml:space="preserve">и возможность представления ими предложений о цене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Со времени начала проведения процедуры конкурса оператором электронной площадки размещается: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открытой части электронной площадки - информация о начале прове</w:t>
      </w:r>
      <w:r>
        <w:rPr>
          <w:sz w:val="28"/>
          <w:szCs w:val="28"/>
          <w:highlight w:val="white"/>
        </w:rPr>
        <w:t xml:space="preserve">дения процедуры конкурса с указанием наименования имущества, начальной цены </w:t>
      </w:r>
      <w:r>
        <w:rPr>
          <w:sz w:val="28"/>
          <w:szCs w:val="28"/>
          <w:highlight w:val="white"/>
        </w:rPr>
        <w:br/>
        <w:t xml:space="preserve">и текущего «шага конкурса»;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закрытой части электронной площадки - помимо информации, указанной </w:t>
      </w:r>
      <w:r>
        <w:rPr>
          <w:sz w:val="28"/>
          <w:szCs w:val="28"/>
          <w:highlight w:val="white"/>
        </w:rPr>
        <w:br/>
        <w:t xml:space="preserve">в открытой части электронной площадки, также предложения о цене имущества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и время их поступления, величина повышения начальной цены («шаг конкурса»), время, оставшееся до окончания приема предложений о цене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течение одного часа со времени начала проведения процедуры конкурса участникам предлагается заявить о приобрет</w:t>
      </w:r>
      <w:r>
        <w:rPr>
          <w:sz w:val="28"/>
          <w:szCs w:val="28"/>
          <w:highlight w:val="white"/>
        </w:rPr>
        <w:t xml:space="preserve">ении имущества по начальной цене. </w:t>
      </w:r>
      <w:r>
        <w:rPr>
          <w:sz w:val="28"/>
          <w:szCs w:val="28"/>
          <w:highlight w:val="white"/>
        </w:rPr>
        <w:br/>
        <w:t xml:space="preserve">В случае если в течение указанного времени: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поступило предложение о начальной цене имущества, то время </w:t>
      </w:r>
      <w:r>
        <w:rPr>
          <w:sz w:val="28"/>
          <w:szCs w:val="28"/>
          <w:highlight w:val="white"/>
        </w:rPr>
        <w:br/>
        <w:t xml:space="preserve">для представления следующих предложений об увеличенной на «шаг конкурса» цене имущества продлевается на 10 минут со в</w:t>
      </w:r>
      <w:r>
        <w:rPr>
          <w:sz w:val="28"/>
          <w:szCs w:val="28"/>
          <w:highlight w:val="white"/>
        </w:rPr>
        <w:t xml:space="preserve">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конкурс с помощью программно-аппаратных средств электронной площадки завершается;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е поступило ни одного предложения о начальной цене имущества, то конкурс с помощью программно-аппаратных средств электронной площадки завершается. </w:t>
      </w:r>
      <w:r>
        <w:rPr>
          <w:sz w:val="28"/>
          <w:szCs w:val="28"/>
          <w:highlight w:val="white"/>
        </w:rPr>
        <w:br/>
        <w:t xml:space="preserve">В этом случае временем окончания представления предложений о цене имущества является время завершения конкур</w:t>
      </w:r>
      <w:r>
        <w:rPr>
          <w:sz w:val="28"/>
          <w:szCs w:val="28"/>
          <w:highlight w:val="white"/>
        </w:rPr>
        <w:t xml:space="preserve">са.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 этом программными средствами электронной площадки обеспечивается: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исключение возможности подачи участником предложения о цене имущества, не соответствующего увеличению текущей цены на величину «шага конкурса»;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Победителем признается участник, предложивший наиболее высокую цену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Ход п</w:t>
      </w:r>
      <w:r>
        <w:rPr>
          <w:sz w:val="28"/>
          <w:szCs w:val="28"/>
          <w:highlight w:val="white"/>
        </w:rPr>
        <w:t xml:space="preserve">роведения процедуры конкурса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конкурса путем оформления пр</w:t>
      </w:r>
      <w:r>
        <w:rPr>
          <w:sz w:val="28"/>
          <w:szCs w:val="28"/>
          <w:highlight w:val="white"/>
        </w:rPr>
        <w:t xml:space="preserve">отокола об итогах конкурса.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Протокол об итогах конкурса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конкурса, цену имущества, фамилию, имя, о</w:t>
      </w:r>
      <w:r>
        <w:rPr>
          <w:sz w:val="28"/>
          <w:szCs w:val="28"/>
          <w:highlight w:val="white"/>
        </w:rPr>
        <w:t xml:space="preserve">т</w:t>
      </w:r>
      <w:r>
        <w:rPr>
          <w:sz w:val="28"/>
          <w:szCs w:val="28"/>
          <w:highlight w:val="white"/>
        </w:rPr>
        <w:t xml:space="preserve">чество или наименование юридического лица - участника продажи, который сделал предпоследнее предложение о цене такого имущества в ходе продажи, </w:t>
        <w:br/>
        <w:t xml:space="preserve">и подписывается продавцом в течение одного часа с момента получения электронного журнала, но не позднее рабочег</w:t>
      </w:r>
      <w:r>
        <w:rPr>
          <w:sz w:val="28"/>
          <w:szCs w:val="28"/>
          <w:highlight w:val="white"/>
        </w:rPr>
        <w:t xml:space="preserve">о дня, следующего за днем подведения итогов конкурса.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Конкурс признается несостоявшимся в следующих случаях: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а) не подано ни одной заявки на участие либо ни один из претендентов </w:t>
        <w:br/>
        <w:t xml:space="preserve">не признан участником;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б) ни один из участников не сделал предложение о цене </w:t>
      </w:r>
      <w:r>
        <w:rPr>
          <w:sz w:val="28"/>
          <w:szCs w:val="28"/>
          <w:highlight w:val="white"/>
        </w:rPr>
        <w:t xml:space="preserve">имущества;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в) принято решение о признании только одного претендента участником, если иное не установлено Федеральным законом о приватизации. Решение о признании конкурса несостоявшимся оформляется протоколом.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Уведомление о признании участника конкурса побе</w:t>
      </w:r>
      <w:r>
        <w:rPr>
          <w:sz w:val="28"/>
          <w:szCs w:val="28"/>
          <w:highlight w:val="white"/>
        </w:rPr>
        <w:t xml:space="preserve">дителем направляется победителю в день подведения итогов конкурса.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течение одного часа со времени подписания протокола об итогах конкурса победителю направляется уведомление о признании его победителем с приложением данного протокола, а также размещаетс</w:t>
      </w:r>
      <w:r>
        <w:rPr>
          <w:sz w:val="28"/>
          <w:szCs w:val="28"/>
          <w:highlight w:val="white"/>
        </w:rPr>
        <w:t xml:space="preserve">я в открытой части электронной площадки следующая информация: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 наименование имущества и иные позволяющие его индивидуализировать сведения;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 цена сделки;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 фамилия, имя, отчество физического лица или наименование юридического лица – победителя.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случае,</w:t>
      </w:r>
      <w:r>
        <w:rPr>
          <w:sz w:val="28"/>
          <w:szCs w:val="28"/>
          <w:highlight w:val="white"/>
        </w:rPr>
        <w:t xml:space="preserve"> если на конкурс подана только одна заявка на приобретение объекта культурного наследия, находящегося в неудовлетворительном состоянии, договор купли-продажи может быть заключен с таким лицом.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11. Срок заключения договора купли-продажи краевого имущества: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Заключение договора купли-продажи с победителем конкурса осуществляется не ранее чем через десять дней и не позднее двадцати дней со дня размещения </w:t>
      </w:r>
      <w:r>
        <w:rPr>
          <w:sz w:val="28"/>
          <w:szCs w:val="28"/>
          <w:highlight w:val="white"/>
        </w:rPr>
        <w:br/>
        <w:t xml:space="preserve">на официальном сайте в сети "Интернет" протокола об итогах конкурса.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Договор купли-продажи имущества закл</w:t>
      </w:r>
      <w:r>
        <w:rPr>
          <w:sz w:val="28"/>
          <w:szCs w:val="28"/>
          <w:highlight w:val="white"/>
        </w:rPr>
        <w:t xml:space="preserve">ючается в форме электронного документа.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При уклонении или отказе победителя конкурса, от заключения в установленный срок договора купли-продажи имущества задаток ему не возвращается, и он утрачивает право на заключение указанного договора.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39"/>
        <w:ind w:left="0" w:firstLine="709"/>
        <w:jc w:val="both"/>
        <w:spacing w:after="0" w:line="28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Ответственность </w:t>
      </w:r>
      <w:r>
        <w:rPr>
          <w:sz w:val="28"/>
          <w:szCs w:val="28"/>
          <w:highlight w:val="white"/>
        </w:rPr>
        <w:t xml:space="preserve">покупателя в случае его отказа или уклонения от оплаты имущества в установленные сроки предусматривается в соответствии </w:t>
      </w:r>
      <w:r>
        <w:rPr>
          <w:sz w:val="28"/>
          <w:szCs w:val="28"/>
          <w:highlight w:val="white"/>
        </w:rPr>
        <w:br/>
        <w:t xml:space="preserve">с законодательством Российской Федерации в договоре купли-продажи имущества, задаток ему не возвращается.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12. Условия и срок платежа, р</w:t>
      </w:r>
      <w:r>
        <w:rPr>
          <w:b/>
          <w:sz w:val="28"/>
          <w:szCs w:val="28"/>
          <w:highlight w:val="white"/>
        </w:rPr>
        <w:t xml:space="preserve">еквизиты счета для оплаты приобретаемого краевого имущества по договору купли-продажи</w:t>
      </w:r>
      <w:r>
        <w:rPr>
          <w:sz w:val="28"/>
          <w:szCs w:val="28"/>
          <w:highlight w:val="white"/>
        </w:rPr>
        <w:t xml:space="preserve">: оплата приобретаемого краевого имущества производится путем перечисления денежных средств в валюте Российской Федерации в безналичном порядке единовременно по следующим </w:t>
      </w:r>
      <w:r>
        <w:rPr>
          <w:sz w:val="28"/>
          <w:szCs w:val="28"/>
          <w:highlight w:val="white"/>
        </w:rPr>
        <w:t xml:space="preserve">реквизитам:</w:t>
      </w:r>
      <w:r>
        <w:rPr>
          <w:b/>
          <w:sz w:val="28"/>
          <w:szCs w:val="28"/>
          <w:highlight w:val="white"/>
        </w:rPr>
        <w:t xml:space="preserve"> на специальный лицевой счет Продавца</w:t>
      </w:r>
      <w:r>
        <w:rPr>
          <w:b/>
          <w:color w:val="000000"/>
          <w:sz w:val="28"/>
          <w:szCs w:val="28"/>
          <w:highlight w:val="white"/>
        </w:rPr>
        <w:t xml:space="preserve">: </w:t>
      </w:r>
      <w:r>
        <w:rPr>
          <w:b/>
          <w:sz w:val="28"/>
          <w:szCs w:val="28"/>
          <w:highlight w:val="white"/>
        </w:rPr>
        <w:t xml:space="preserve">Банк получателя: </w:t>
        <w:br/>
        <w:t xml:space="preserve">ОКЦ №3УГУ Банка России//УФК по Пермскому краю г. Пермь, БИК 015773997, Единый казначейский счет (ЕКС) № 40102810145370000048, Казначейский счет 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jc w:val="both"/>
        <w:spacing w:line="280" w:lineRule="exac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№ 03222643570000005600, Получатель: Минфин П</w:t>
      </w:r>
      <w:r>
        <w:rPr>
          <w:b/>
          <w:sz w:val="28"/>
          <w:szCs w:val="28"/>
          <w:highlight w:val="white"/>
        </w:rPr>
        <w:t xml:space="preserve">ермского края (Министерство </w:t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jc w:val="both"/>
        <w:spacing w:line="280" w:lineRule="exact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по управлению имуществом и градостроительной деятельности Пермского края, л/с № 058120421), ИНН 5902293192, КПП 590401001, ОКТМО 57701000</w:t>
      </w:r>
      <w:r>
        <w:rPr>
          <w:b/>
          <w:color w:val="00000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–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в течение 10 (Десяти) дней со дня заключения договора купли-продажи. Задаток, перечисленный победителем конкурса засчитывается в счет оплаты приобретаемого имущества (в сумму платежа по договору купли-продажи).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случае уклонения или отказа покупателя от о</w:t>
      </w:r>
      <w:r>
        <w:rPr>
          <w:sz w:val="28"/>
          <w:szCs w:val="28"/>
          <w:highlight w:val="white"/>
        </w:rPr>
        <w:t xml:space="preserve">платы приобретаемого имущества покупателем уплачивается неустойка в соответствии с договором купли-продажи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Факт оплаты покупателем приобретаемого имущества подтверждается выпиской со счета, указанного в настоящем Информационном сообщении, подтве</w:t>
      </w:r>
      <w:r>
        <w:rPr>
          <w:sz w:val="28"/>
          <w:szCs w:val="28"/>
          <w:highlight w:val="white"/>
        </w:rPr>
        <w:t xml:space="preserve">рждающей поступление денежных средств в размере и сроки, предусмотренные договором купли-продажи имущества.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7"/>
        <w:contextualSpacing w:val="0"/>
        <w:ind w:left="0" w:right="-2" w:firstLine="709"/>
        <w:jc w:val="both"/>
        <w:spacing w:line="280" w:lineRule="exact"/>
        <w:widowControl w:val="off"/>
        <w:tabs>
          <w:tab w:val="left" w:pos="142" w:leader="none"/>
          <w:tab w:val="left" w:pos="284" w:leader="none"/>
        </w:tabs>
        <w:rPr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13. </w:t>
      </w:r>
      <w:r>
        <w:rPr>
          <w:b/>
          <w:sz w:val="28"/>
          <w:szCs w:val="28"/>
          <w:highlight w:val="white"/>
        </w:rPr>
        <w:t xml:space="preserve">Порядок ознакомления покупателей с иной информацией, условиями договора купли-продажи краевого имущества:</w:t>
      </w:r>
      <w:r>
        <w:rPr>
          <w:sz w:val="28"/>
          <w:szCs w:val="28"/>
          <w:highlight w:val="white"/>
        </w:rPr>
        <w:t xml:space="preserve"> с иной информацией, условиями договора</w:t>
      </w:r>
      <w:r>
        <w:rPr>
          <w:sz w:val="28"/>
          <w:szCs w:val="28"/>
          <w:highlight w:val="white"/>
        </w:rPr>
        <w:t xml:space="preserve"> купли-продажи имущества можно ознакомиться по адресу: Пермский край, г. Пермь, ул. Сибирская, д. 30а, 1 этаж, каб.112 (с понедельника по четверг </w:t>
      </w:r>
      <w:r>
        <w:rPr>
          <w:sz w:val="28"/>
          <w:szCs w:val="28"/>
          <w:highlight w:val="white"/>
        </w:rPr>
        <w:br/>
        <w:t xml:space="preserve">с 09.00 час. до 17.00 час., в пятницу с 09.00 час. до 16.00 час., перерыв с 13.00 час. </w:t>
      </w:r>
      <w:r>
        <w:rPr>
          <w:sz w:val="28"/>
          <w:szCs w:val="28"/>
          <w:highlight w:val="white"/>
        </w:rPr>
        <w:br/>
        <w:t xml:space="preserve">до 13.48 час. (время </w:t>
      </w:r>
      <w:r>
        <w:rPr>
          <w:sz w:val="28"/>
          <w:szCs w:val="28"/>
          <w:highlight w:val="white"/>
        </w:rPr>
        <w:t xml:space="preserve">местное); тел. (342) 211 04 67 (доб. 1168), </w:t>
      </w:r>
      <w:r>
        <w:rPr>
          <w:bCs/>
          <w:sz w:val="28"/>
          <w:szCs w:val="28"/>
          <w:highlight w:val="white"/>
        </w:rPr>
        <w:t xml:space="preserve">адрес электронной почты: </w:t>
      </w:r>
      <w:r>
        <w:rPr>
          <w:bCs/>
          <w:sz w:val="28"/>
          <w:szCs w:val="28"/>
          <w:highlight w:val="white"/>
          <w:lang w:val="en-US"/>
        </w:rPr>
        <w:t xml:space="preserve">nazubareva</w:t>
      </w:r>
      <w:r>
        <w:rPr>
          <w:bCs/>
          <w:sz w:val="28"/>
          <w:szCs w:val="28"/>
          <w:highlight w:val="white"/>
        </w:rPr>
        <w:t xml:space="preserve">@</w:t>
      </w:r>
      <w:r>
        <w:rPr>
          <w:bCs/>
          <w:sz w:val="28"/>
          <w:szCs w:val="28"/>
          <w:highlight w:val="white"/>
          <w:lang w:val="en-US"/>
        </w:rPr>
        <w:t xml:space="preserve">auprim</w:t>
      </w:r>
      <w:r>
        <w:rPr>
          <w:bCs/>
          <w:sz w:val="28"/>
          <w:szCs w:val="28"/>
          <w:highlight w:val="white"/>
        </w:rPr>
        <w:t xml:space="preserve">.</w:t>
      </w:r>
      <w:r>
        <w:rPr>
          <w:bCs/>
          <w:sz w:val="28"/>
          <w:szCs w:val="28"/>
          <w:highlight w:val="white"/>
          <w:lang w:val="en-US"/>
        </w:rPr>
        <w:t xml:space="preserve">permkrai</w:t>
      </w:r>
      <w:r>
        <w:rPr>
          <w:bCs/>
          <w:sz w:val="28"/>
          <w:szCs w:val="28"/>
          <w:highlight w:val="white"/>
        </w:rPr>
        <w:t xml:space="preserve">.</w:t>
      </w:r>
      <w:r>
        <w:rPr>
          <w:bCs/>
          <w:sz w:val="28"/>
          <w:szCs w:val="28"/>
          <w:highlight w:val="white"/>
          <w:lang w:val="en-US"/>
        </w:rPr>
        <w:t xml:space="preserve">ru</w:t>
      </w:r>
      <w:r>
        <w:rPr>
          <w:bCs/>
          <w:sz w:val="28"/>
          <w:szCs w:val="28"/>
          <w:highlight w:val="white"/>
        </w:rPr>
        <w:t xml:space="preserve">, сайт: </w:t>
      </w:r>
      <w:r>
        <w:rPr>
          <w:sz w:val="28"/>
          <w:szCs w:val="28"/>
          <w:highlight w:val="white"/>
        </w:rPr>
        <w:t xml:space="preserve">http://migd.permkrai.ru/</w:t>
      </w:r>
      <w:r>
        <w:rPr>
          <w:bCs/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в течение указанного в настоящем Информационном сообщении срока подачи заявок (со дня приема заявок).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Такой запрос в режиме реального времени направляется в «личный кабинет» продавца для рассмотрения п</w:t>
      </w:r>
      <w:r>
        <w:rPr>
          <w:sz w:val="28"/>
          <w:szCs w:val="28"/>
          <w:highlight w:val="white"/>
        </w:rPr>
        <w:t xml:space="preserve">ри условии, что запрос поступил продавцу не позднее </w:t>
      </w:r>
      <w:r>
        <w:rPr>
          <w:sz w:val="28"/>
          <w:szCs w:val="28"/>
          <w:highlight w:val="white"/>
        </w:rPr>
        <w:br/>
        <w:t xml:space="preserve">5 рабочих дней до окончания подачи заявок.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</w:t>
      </w:r>
      <w:r>
        <w:rPr>
          <w:sz w:val="28"/>
          <w:szCs w:val="28"/>
          <w:highlight w:val="white"/>
        </w:rPr>
        <w:br/>
        <w:t xml:space="preserve">с указа</w:t>
      </w:r>
      <w:r>
        <w:rPr>
          <w:sz w:val="28"/>
          <w:szCs w:val="28"/>
          <w:highlight w:val="white"/>
        </w:rPr>
        <w:t xml:space="preserve">нием предмета запроса, но без указания лица, от которого поступил запрос.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bCs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14. </w:t>
      </w:r>
      <w:r>
        <w:rPr>
          <w:b/>
          <w:bCs/>
          <w:sz w:val="28"/>
          <w:szCs w:val="28"/>
          <w:highlight w:val="white"/>
        </w:rPr>
        <w:t xml:space="preserve">Ограничения участия отдельных категорий физических лиц </w:t>
      </w:r>
      <w:r>
        <w:rPr>
          <w:b/>
          <w:bCs/>
          <w:sz w:val="28"/>
          <w:szCs w:val="28"/>
          <w:highlight w:val="white"/>
        </w:rPr>
        <w:br/>
        <w:t xml:space="preserve">и юридических лиц в приватизации краевого имущества: </w:t>
      </w:r>
      <w:r>
        <w:rPr>
          <w:bCs/>
          <w:sz w:val="28"/>
          <w:szCs w:val="28"/>
          <w:highlight w:val="white"/>
        </w:rPr>
        <w:t xml:space="preserve">покупателями краевого имущества могут быть любые физические и юридиче</w:t>
      </w:r>
      <w:r>
        <w:rPr>
          <w:bCs/>
          <w:sz w:val="28"/>
          <w:szCs w:val="28"/>
          <w:highlight w:val="white"/>
        </w:rPr>
        <w:t xml:space="preserve">ские лица, за исключением государственных и муниципальных унитарных предприятий, государственных </w:t>
      </w:r>
      <w:r>
        <w:rPr>
          <w:bCs/>
          <w:sz w:val="28"/>
          <w:szCs w:val="28"/>
          <w:highlight w:val="white"/>
        </w:rPr>
        <w:br/>
        <w:t xml:space="preserve">и муниципальных учреждений, а также юридических лиц, в уставном капитале которых доля Российской Федерации, субъектов Российской Федерации </w:t>
      </w:r>
      <w:r>
        <w:rPr>
          <w:bCs/>
          <w:sz w:val="28"/>
          <w:szCs w:val="28"/>
          <w:highlight w:val="white"/>
        </w:rPr>
        <w:br/>
        <w:t xml:space="preserve">и муниципальных об</w:t>
      </w:r>
      <w:r>
        <w:rPr>
          <w:bCs/>
          <w:sz w:val="28"/>
          <w:szCs w:val="28"/>
          <w:highlight w:val="white"/>
        </w:rPr>
        <w:t xml:space="preserve">разований превышает 25 процентов, кроме случаев, предусмотренных статьей 25 Федерального закона от 21.12.2001 № 178-ФЗ </w:t>
      </w:r>
      <w:r>
        <w:rPr>
          <w:bCs/>
          <w:sz w:val="28"/>
          <w:szCs w:val="28"/>
          <w:highlight w:val="white"/>
        </w:rPr>
        <w:br/>
        <w:t xml:space="preserve">«О приватизации государственного и муниципального имущества»; иные ограничения в соответствии с федеральным законодательством.</w:t>
      </w:r>
      <w:r>
        <w:rPr>
          <w:bCs/>
          <w:sz w:val="28"/>
          <w:szCs w:val="28"/>
          <w:highlight w:val="white"/>
        </w:rPr>
      </w:r>
      <w:r>
        <w:rPr>
          <w:bCs/>
          <w:sz w:val="28"/>
          <w:szCs w:val="28"/>
          <w:highlight w:val="white"/>
        </w:rPr>
      </w:r>
    </w:p>
    <w:p>
      <w:pPr>
        <w:ind w:firstLine="709"/>
        <w:jc w:val="both"/>
        <w:spacing w:line="280" w:lineRule="exact"/>
        <w:tabs>
          <w:tab w:val="left" w:pos="1418" w:leader="none"/>
        </w:tabs>
        <w:rPr>
          <w:rFonts w:eastAsiaTheme="minorHAnsi"/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15. </w:t>
      </w:r>
      <w:r>
        <w:rPr>
          <w:rFonts w:eastAsiaTheme="minorHAnsi"/>
          <w:b/>
          <w:sz w:val="28"/>
          <w:szCs w:val="28"/>
          <w:highlight w:val="white"/>
          <w:lang w:eastAsia="en-US"/>
        </w:rPr>
        <w:t xml:space="preserve">Сведе</w:t>
      </w:r>
      <w:r>
        <w:rPr>
          <w:rFonts w:eastAsiaTheme="minorHAnsi"/>
          <w:b/>
          <w:sz w:val="28"/>
          <w:szCs w:val="28"/>
          <w:highlight w:val="white"/>
          <w:lang w:eastAsia="en-US"/>
        </w:rPr>
        <w:t xml:space="preserve">ния обо всех предыдущих торгах по продаже краевого имущества, объявленных в течение года, предшествующего его продаже, и об итогах торгов по продаже такого имущества: </w:t>
      </w:r>
      <w:r>
        <w:rPr>
          <w:rFonts w:eastAsiaTheme="minorHAnsi"/>
          <w:b/>
          <w:sz w:val="28"/>
          <w:szCs w:val="28"/>
          <w:highlight w:val="white"/>
        </w:rPr>
      </w:r>
      <w:r>
        <w:rPr>
          <w:rFonts w:eastAsiaTheme="minorHAnsi"/>
          <w:b/>
          <w:sz w:val="28"/>
          <w:szCs w:val="28"/>
          <w:highlight w:val="white"/>
        </w:rPr>
      </w:r>
    </w:p>
    <w:p>
      <w:pPr>
        <w:ind w:firstLine="709"/>
        <w:jc w:val="both"/>
        <w:spacing w:line="279" w:lineRule="exact"/>
        <w:tabs>
          <w:tab w:val="left" w:pos="1418" w:leader="none"/>
        </w:tabs>
        <w:rPr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пр</w:t>
      </w:r>
      <w:r>
        <w:rPr>
          <w:sz w:val="28"/>
          <w:szCs w:val="28"/>
          <w:highlight w:val="white"/>
        </w:rPr>
        <w:t xml:space="preserve">одажа краевого имущества в порядке приватизации на конкурсе </w:t>
        <w:br/>
        <w:t xml:space="preserve">в электронной форме признана несостоявшейся: не подано ни одной заявки </w:t>
        <w:br/>
        <w:t xml:space="preserve">на участие (п. 82(1) постановления Правительства РФ от 27 августа 2012 г. № 860) (Протокол об итогах продажи государственно</w:t>
      </w:r>
      <w:r>
        <w:rPr>
          <w:sz w:val="28"/>
          <w:szCs w:val="28"/>
          <w:highlight w:val="white"/>
        </w:rPr>
        <w:t xml:space="preserve">го имущества Пермского края </w:t>
      </w:r>
      <w:r>
        <w:rPr>
          <w:sz w:val="28"/>
          <w:szCs w:val="28"/>
          <w:highlight w:val="white"/>
        </w:rPr>
        <w:t xml:space="preserve">в порядке приватизации на конкурсе в электронной форме от 31 августа 2026 г.).</w:t>
      </w: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  <w14:ligatures w14:val="none"/>
        </w:rPr>
      </w:r>
    </w:p>
    <w:sectPr>
      <w:footnotePr/>
      <w:endnotePr/>
      <w:type w:val="nextPage"/>
      <w:pgSz w:w="11906" w:h="16838" w:orient="portrait"/>
      <w:pgMar w:top="1276" w:right="707" w:bottom="1135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mbria">
    <w:panose1 w:val="02040803050406030204"/>
  </w:font>
  <w:font w:name="Calibri">
    <w:panose1 w:val="020F0502020204030204"/>
  </w:font>
  <w:font w:name="Courier New">
    <w:panose1 w:val="02070309020205020404"/>
  </w:font>
  <w:font w:name="Trebuchet MS">
    <w:panose1 w:val="020B06030202020202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 w:eastAsia="Times New Roman"/>
        <w:b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ascii="Times New Roman" w:hAnsi="Times New Roman" w:cs="Times New Roman"/>
        <w:sz w:val="24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14"/>
      <w:numFmt w:val="decimal"/>
      <w:isLgl w:val="false"/>
      <w:suff w:val="tab"/>
      <w:lvlText w:val="%1"/>
      <w:lvlJc w:val="left"/>
      <w:pPr>
        <w:ind w:left="2412" w:hanging="1095"/>
        <w:tabs>
          <w:tab w:val="num" w:pos="2412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397" w:hanging="360"/>
        <w:tabs>
          <w:tab w:val="num" w:pos="239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17" w:hanging="180"/>
        <w:tabs>
          <w:tab w:val="num" w:pos="311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37" w:hanging="360"/>
        <w:tabs>
          <w:tab w:val="num" w:pos="383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57" w:hanging="360"/>
        <w:tabs>
          <w:tab w:val="num" w:pos="455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77" w:hanging="180"/>
        <w:tabs>
          <w:tab w:val="num" w:pos="527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97" w:hanging="360"/>
        <w:tabs>
          <w:tab w:val="num" w:pos="599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17" w:hanging="360"/>
        <w:tabs>
          <w:tab w:val="num" w:pos="671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37" w:hanging="180"/>
        <w:tabs>
          <w:tab w:val="num" w:pos="7437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6">
    <w:multiLevelType w:val="hybridMultilevel"/>
    <w:lvl w:ilvl="0">
      <w:start w:val="5"/>
      <w:numFmt w:val="bullet"/>
      <w:isLgl w:val="false"/>
      <w:suff w:val="tab"/>
      <w:lvlText w:val="-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  <w:tabs>
          <w:tab w:val="num" w:pos="164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  <w:tabs>
          <w:tab w:val="num" w:pos="236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  <w:tabs>
          <w:tab w:val="num" w:pos="308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  <w:tabs>
          <w:tab w:val="num" w:pos="380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  <w:tabs>
          <w:tab w:val="num" w:pos="452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  <w:tabs>
          <w:tab w:val="num" w:pos="524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  <w:tabs>
          <w:tab w:val="num" w:pos="596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  <w:tabs>
          <w:tab w:val="num" w:pos="6687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42" w:hanging="9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9"/>
  </w:num>
  <w:num w:numId="3">
    <w:abstractNumId w:val="13"/>
  </w:num>
  <w:num w:numId="4">
    <w:abstractNumId w:val="1"/>
  </w:num>
  <w:num w:numId="5">
    <w:abstractNumId w:val="5"/>
  </w:num>
  <w:num w:numId="6">
    <w:abstractNumId w:val="22"/>
  </w:num>
  <w:num w:numId="7">
    <w:abstractNumId w:val="7"/>
  </w:num>
  <w:num w:numId="8">
    <w:abstractNumId w:val="2"/>
  </w:num>
  <w:num w:numId="9">
    <w:abstractNumId w:val="14"/>
  </w:num>
  <w:num w:numId="10">
    <w:abstractNumId w:val="3"/>
  </w:num>
  <w:num w:numId="11">
    <w:abstractNumId w:val="0"/>
  </w:num>
  <w:num w:numId="12">
    <w:abstractNumId w:val="12"/>
  </w:num>
  <w:num w:numId="13">
    <w:abstractNumId w:val="21"/>
  </w:num>
  <w:num w:numId="14">
    <w:abstractNumId w:val="1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9"/>
  </w:num>
  <w:num w:numId="17">
    <w:abstractNumId w:val="8"/>
  </w:num>
  <w:num w:numId="18">
    <w:abstractNumId w:val="10"/>
  </w:num>
  <w:num w:numId="19">
    <w:abstractNumId w:val="6"/>
  </w:num>
  <w:num w:numId="20">
    <w:abstractNumId w:val="15"/>
  </w:num>
  <w:num w:numId="21">
    <w:abstractNumId w:val="18"/>
  </w:num>
  <w:num w:numId="22">
    <w:abstractNumId w:val="4"/>
  </w:num>
  <w:num w:numId="23">
    <w:abstractNumId w:val="11"/>
  </w:num>
  <w:num w:numId="24">
    <w:abstractNumId w:val="2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8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4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05">
    <w:name w:val="Heading 1"/>
    <w:basedOn w:val="704"/>
    <w:next w:val="704"/>
    <w:link w:val="906"/>
    <w:qFormat/>
    <w:pPr>
      <w:ind w:left="1080" w:right="4855" w:hanging="540"/>
      <w:keepNext/>
      <w:tabs>
        <w:tab w:val="left" w:pos="4500" w:leader="none"/>
      </w:tabs>
      <w:outlineLvl w:val="0"/>
    </w:pPr>
    <w:rPr>
      <w:b/>
      <w:bCs/>
      <w:sz w:val="18"/>
    </w:rPr>
  </w:style>
  <w:style w:type="paragraph" w:styleId="706">
    <w:name w:val="Heading 2"/>
    <w:basedOn w:val="704"/>
    <w:next w:val="704"/>
    <w:link w:val="907"/>
    <w:qFormat/>
    <w:pPr>
      <w:ind w:left="1080" w:right="4855" w:hanging="540"/>
      <w:keepNext/>
      <w:tabs>
        <w:tab w:val="left" w:pos="4500" w:leader="none"/>
      </w:tabs>
      <w:outlineLvl w:val="1"/>
    </w:pPr>
    <w:rPr>
      <w:b/>
      <w:bCs/>
      <w:sz w:val="16"/>
    </w:rPr>
  </w:style>
  <w:style w:type="paragraph" w:styleId="707">
    <w:name w:val="Heading 3"/>
    <w:basedOn w:val="704"/>
    <w:next w:val="704"/>
    <w:link w:val="908"/>
    <w:qFormat/>
    <w:pPr>
      <w:ind w:left="1080" w:right="4855" w:hanging="540"/>
      <w:keepNext/>
      <w:tabs>
        <w:tab w:val="left" w:pos="4500" w:leader="none"/>
      </w:tabs>
      <w:outlineLvl w:val="2"/>
    </w:pPr>
    <w:rPr>
      <w:b/>
      <w:bCs/>
      <w:sz w:val="20"/>
    </w:rPr>
  </w:style>
  <w:style w:type="paragraph" w:styleId="708">
    <w:name w:val="Heading 4"/>
    <w:basedOn w:val="704"/>
    <w:next w:val="704"/>
    <w:link w:val="73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9">
    <w:name w:val="Heading 5"/>
    <w:basedOn w:val="704"/>
    <w:next w:val="704"/>
    <w:link w:val="73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10">
    <w:name w:val="Heading 6"/>
    <w:basedOn w:val="704"/>
    <w:next w:val="704"/>
    <w:link w:val="909"/>
    <w:qFormat/>
    <w:pPr>
      <w:ind w:left="72" w:right="72"/>
      <w:jc w:val="center"/>
      <w:keepNext/>
      <w:tabs>
        <w:tab w:val="left" w:pos="72" w:leader="none"/>
        <w:tab w:val="left" w:pos="6192" w:leader="none"/>
      </w:tabs>
      <w:outlineLvl w:val="5"/>
    </w:pPr>
    <w:rPr>
      <w:b/>
      <w:bCs/>
      <w:sz w:val="20"/>
    </w:rPr>
  </w:style>
  <w:style w:type="paragraph" w:styleId="711">
    <w:name w:val="Heading 7"/>
    <w:basedOn w:val="704"/>
    <w:next w:val="704"/>
    <w:link w:val="73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2">
    <w:name w:val="Heading 8"/>
    <w:basedOn w:val="704"/>
    <w:next w:val="704"/>
    <w:link w:val="73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3">
    <w:name w:val="Heading 9"/>
    <w:basedOn w:val="704"/>
    <w:next w:val="704"/>
    <w:link w:val="73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4" w:default="1">
    <w:name w:val="Default Paragraph Font"/>
    <w:uiPriority w:val="1"/>
    <w:semiHidden/>
    <w:unhideWhenUsed/>
  </w:style>
  <w:style w:type="table" w:styleId="71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6" w:default="1">
    <w:name w:val="No List"/>
    <w:uiPriority w:val="99"/>
    <w:semiHidden/>
    <w:unhideWhenUsed/>
  </w:style>
  <w:style w:type="character" w:styleId="717" w:customStyle="1">
    <w:name w:val="Heading 4 Char"/>
    <w:basedOn w:val="71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8" w:customStyle="1">
    <w:name w:val="Heading 5 Char"/>
    <w:basedOn w:val="71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9" w:customStyle="1">
    <w:name w:val="Heading 7 Char"/>
    <w:basedOn w:val="71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0" w:customStyle="1">
    <w:name w:val="Heading 8 Char"/>
    <w:basedOn w:val="71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1" w:customStyle="1">
    <w:name w:val="Heading 9 Char"/>
    <w:basedOn w:val="71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2" w:customStyle="1">
    <w:name w:val="Subtitle Char"/>
    <w:basedOn w:val="714"/>
    <w:uiPriority w:val="11"/>
    <w:rPr>
      <w:sz w:val="24"/>
      <w:szCs w:val="24"/>
    </w:rPr>
  </w:style>
  <w:style w:type="character" w:styleId="723" w:customStyle="1">
    <w:name w:val="Quote Char"/>
    <w:uiPriority w:val="29"/>
    <w:rPr>
      <w:i/>
    </w:rPr>
  </w:style>
  <w:style w:type="character" w:styleId="724" w:customStyle="1">
    <w:name w:val="Intense Quote Char"/>
    <w:uiPriority w:val="30"/>
    <w:rPr>
      <w:i/>
    </w:rPr>
  </w:style>
  <w:style w:type="character" w:styleId="725" w:customStyle="1">
    <w:name w:val="Caption Char"/>
    <w:basedOn w:val="714"/>
    <w:uiPriority w:val="35"/>
    <w:rPr>
      <w:b/>
      <w:bCs/>
      <w:color w:val="4f81bd" w:themeColor="accent1"/>
      <w:sz w:val="18"/>
      <w:szCs w:val="18"/>
    </w:rPr>
  </w:style>
  <w:style w:type="character" w:styleId="726" w:customStyle="1">
    <w:name w:val="Endnote Text Char"/>
    <w:uiPriority w:val="99"/>
    <w:rPr>
      <w:sz w:val="20"/>
    </w:rPr>
  </w:style>
  <w:style w:type="character" w:styleId="727" w:customStyle="1">
    <w:name w:val="Heading 1 Char"/>
    <w:basedOn w:val="714"/>
    <w:uiPriority w:val="9"/>
    <w:rPr>
      <w:rFonts w:ascii="Arial" w:hAnsi="Arial" w:eastAsia="Arial" w:cs="Arial"/>
      <w:sz w:val="40"/>
      <w:szCs w:val="40"/>
    </w:rPr>
  </w:style>
  <w:style w:type="character" w:styleId="728" w:customStyle="1">
    <w:name w:val="Heading 2 Char"/>
    <w:basedOn w:val="714"/>
    <w:uiPriority w:val="9"/>
    <w:rPr>
      <w:rFonts w:ascii="Arial" w:hAnsi="Arial" w:eastAsia="Arial" w:cs="Arial"/>
      <w:sz w:val="34"/>
    </w:rPr>
  </w:style>
  <w:style w:type="character" w:styleId="729" w:customStyle="1">
    <w:name w:val="Heading 3 Char"/>
    <w:basedOn w:val="714"/>
    <w:uiPriority w:val="9"/>
    <w:rPr>
      <w:rFonts w:ascii="Arial" w:hAnsi="Arial" w:eastAsia="Arial" w:cs="Arial"/>
      <w:sz w:val="30"/>
      <w:szCs w:val="30"/>
    </w:rPr>
  </w:style>
  <w:style w:type="character" w:styleId="730" w:customStyle="1">
    <w:name w:val="Заголовок 4 Знак"/>
    <w:basedOn w:val="714"/>
    <w:link w:val="708"/>
    <w:uiPriority w:val="9"/>
    <w:rPr>
      <w:rFonts w:ascii="Arial" w:hAnsi="Arial" w:eastAsia="Arial" w:cs="Arial"/>
      <w:b/>
      <w:bCs/>
      <w:sz w:val="26"/>
      <w:szCs w:val="26"/>
    </w:rPr>
  </w:style>
  <w:style w:type="character" w:styleId="731" w:customStyle="1">
    <w:name w:val="Заголовок 5 Знак"/>
    <w:basedOn w:val="714"/>
    <w:link w:val="709"/>
    <w:uiPriority w:val="9"/>
    <w:rPr>
      <w:rFonts w:ascii="Arial" w:hAnsi="Arial" w:eastAsia="Arial" w:cs="Arial"/>
      <w:b/>
      <w:bCs/>
      <w:sz w:val="24"/>
      <w:szCs w:val="24"/>
    </w:rPr>
  </w:style>
  <w:style w:type="character" w:styleId="732" w:customStyle="1">
    <w:name w:val="Heading 6 Char"/>
    <w:basedOn w:val="714"/>
    <w:uiPriority w:val="9"/>
    <w:rPr>
      <w:rFonts w:ascii="Arial" w:hAnsi="Arial" w:eastAsia="Arial" w:cs="Arial"/>
      <w:b/>
      <w:bCs/>
      <w:sz w:val="22"/>
      <w:szCs w:val="22"/>
    </w:rPr>
  </w:style>
  <w:style w:type="character" w:styleId="733" w:customStyle="1">
    <w:name w:val="Заголовок 7 Знак"/>
    <w:basedOn w:val="714"/>
    <w:link w:val="7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4" w:customStyle="1">
    <w:name w:val="Заголовок 8 Знак"/>
    <w:basedOn w:val="714"/>
    <w:link w:val="712"/>
    <w:uiPriority w:val="9"/>
    <w:rPr>
      <w:rFonts w:ascii="Arial" w:hAnsi="Arial" w:eastAsia="Arial" w:cs="Arial"/>
      <w:i/>
      <w:iCs/>
      <w:sz w:val="22"/>
      <w:szCs w:val="22"/>
    </w:rPr>
  </w:style>
  <w:style w:type="character" w:styleId="735" w:customStyle="1">
    <w:name w:val="Заголовок 9 Знак"/>
    <w:basedOn w:val="714"/>
    <w:link w:val="713"/>
    <w:uiPriority w:val="9"/>
    <w:rPr>
      <w:rFonts w:ascii="Arial" w:hAnsi="Arial" w:eastAsia="Arial" w:cs="Arial"/>
      <w:i/>
      <w:iCs/>
      <w:sz w:val="21"/>
      <w:szCs w:val="21"/>
    </w:rPr>
  </w:style>
  <w:style w:type="character" w:styleId="736" w:customStyle="1">
    <w:name w:val="Title Char"/>
    <w:basedOn w:val="714"/>
    <w:uiPriority w:val="10"/>
    <w:rPr>
      <w:sz w:val="48"/>
      <w:szCs w:val="48"/>
    </w:rPr>
  </w:style>
  <w:style w:type="paragraph" w:styleId="737">
    <w:name w:val="Subtitle"/>
    <w:basedOn w:val="704"/>
    <w:next w:val="704"/>
    <w:link w:val="738"/>
    <w:uiPriority w:val="11"/>
    <w:qFormat/>
    <w:pPr>
      <w:spacing w:before="200" w:after="200"/>
    </w:pPr>
  </w:style>
  <w:style w:type="character" w:styleId="738" w:customStyle="1">
    <w:name w:val="Подзаголовок Знак"/>
    <w:basedOn w:val="714"/>
    <w:link w:val="737"/>
    <w:uiPriority w:val="11"/>
    <w:rPr>
      <w:sz w:val="24"/>
      <w:szCs w:val="24"/>
    </w:rPr>
  </w:style>
  <w:style w:type="paragraph" w:styleId="739">
    <w:name w:val="Quote"/>
    <w:basedOn w:val="704"/>
    <w:next w:val="704"/>
    <w:link w:val="740"/>
    <w:uiPriority w:val="29"/>
    <w:qFormat/>
    <w:pPr>
      <w:ind w:left="720" w:right="720"/>
    </w:pPr>
    <w:rPr>
      <w:i/>
    </w:rPr>
  </w:style>
  <w:style w:type="character" w:styleId="740" w:customStyle="1">
    <w:name w:val="Цитата 2 Знак"/>
    <w:link w:val="739"/>
    <w:uiPriority w:val="29"/>
    <w:rPr>
      <w:i/>
    </w:rPr>
  </w:style>
  <w:style w:type="paragraph" w:styleId="741">
    <w:name w:val="Intense Quote"/>
    <w:basedOn w:val="704"/>
    <w:next w:val="704"/>
    <w:link w:val="74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 w:customStyle="1">
    <w:name w:val="Выделенная цитата Знак"/>
    <w:link w:val="741"/>
    <w:uiPriority w:val="30"/>
    <w:rPr>
      <w:i/>
    </w:rPr>
  </w:style>
  <w:style w:type="character" w:styleId="743" w:customStyle="1">
    <w:name w:val="Header Char"/>
    <w:basedOn w:val="714"/>
    <w:uiPriority w:val="99"/>
  </w:style>
  <w:style w:type="character" w:styleId="744" w:customStyle="1">
    <w:name w:val="Footer Char"/>
    <w:basedOn w:val="714"/>
    <w:uiPriority w:val="99"/>
  </w:style>
  <w:style w:type="paragraph" w:styleId="745">
    <w:name w:val="Caption"/>
    <w:basedOn w:val="704"/>
    <w:next w:val="704"/>
    <w:link w:val="7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6" w:customStyle="1">
    <w:name w:val="Название объекта Знак"/>
    <w:basedOn w:val="714"/>
    <w:link w:val="745"/>
    <w:uiPriority w:val="35"/>
    <w:rPr>
      <w:b/>
      <w:bCs/>
      <w:color w:val="4f81bd" w:themeColor="accent1"/>
      <w:sz w:val="18"/>
      <w:szCs w:val="18"/>
    </w:rPr>
  </w:style>
  <w:style w:type="table" w:styleId="747" w:customStyle="1">
    <w:name w:val="Table Grid Light"/>
    <w:basedOn w:val="715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basedOn w:val="715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71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 w:customStyle="1">
    <w:name w:val="Grid Table 4 - Accent 1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6" w:customStyle="1">
    <w:name w:val="Grid Table 4 - Accent 2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7" w:customStyle="1">
    <w:name w:val="Grid Table 4 - Accent 3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8" w:customStyle="1">
    <w:name w:val="Grid Table 4 - Accent 4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9" w:customStyle="1">
    <w:name w:val="Grid Table 4 - Accent 5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0" w:customStyle="1">
    <w:name w:val="Grid Table 4 - Accent 6"/>
    <w:basedOn w:val="7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1">
    <w:name w:val="Grid Table 5 Dark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8">
    <w:name w:val="Grid Table 6 Colorful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Grid Table 6 Colorful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0" w:customStyle="1">
    <w:name w:val="Grid Table 6 Colorful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1" w:customStyle="1">
    <w:name w:val="Grid Table 6 Colorful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2" w:customStyle="1">
    <w:name w:val="Grid Table 6 Colorful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3" w:customStyle="1">
    <w:name w:val="Grid Table 6 Colorful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4" w:customStyle="1">
    <w:name w:val="Grid Table 6 Colorful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>
    <w:name w:val="Grid Table 7 Colorful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>
    <w:name w:val="List Table 6 Colorful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8" w:customStyle="1">
    <w:name w:val="List Table 6 Colorful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9" w:customStyle="1">
    <w:name w:val="List Table 6 Colorful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0" w:customStyle="1">
    <w:name w:val="List Table 6 Colorful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1" w:customStyle="1">
    <w:name w:val="List Table 6 Colorful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2" w:customStyle="1">
    <w:name w:val="List Table 6 Colorful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3" w:customStyle="1">
    <w:name w:val="List Table 6 Colorful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4">
    <w:name w:val="List Table 7 Colorful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ned - Accent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2" w:customStyle="1">
    <w:name w:val="Lined - Accent 1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3" w:customStyle="1">
    <w:name w:val="Lined - Accent 2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4" w:customStyle="1">
    <w:name w:val="Lined - Accent 3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5" w:customStyle="1">
    <w:name w:val="Lined - Accent 4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6" w:customStyle="1">
    <w:name w:val="Lined - Accent 5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7" w:customStyle="1">
    <w:name w:val="Lined - Accent 6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8" w:customStyle="1">
    <w:name w:val="Bordered &amp; Lined - Accent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Bordered &amp; Lined - Accent 1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Bordered &amp; Lined - Accent 2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Bordered &amp; Lined - Accent 3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Bordered &amp; Lined - Accent 4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Bordered &amp; Lined - Accent 5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Bordered &amp; Lined - Accent 6"/>
    <w:basedOn w:val="7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6" w:customStyle="1">
    <w:name w:val="Bordered - Accent 1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7" w:customStyle="1">
    <w:name w:val="Bordered - Accent 2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8" w:customStyle="1">
    <w:name w:val="Bordered - Accent 3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9" w:customStyle="1">
    <w:name w:val="Bordered - Accent 4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0" w:customStyle="1">
    <w:name w:val="Bordered - Accent 5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1" w:customStyle="1">
    <w:name w:val="Bordered - Accent 6"/>
    <w:basedOn w:val="7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2" w:customStyle="1">
    <w:name w:val="Footnote Text Char"/>
    <w:uiPriority w:val="99"/>
    <w:rPr>
      <w:sz w:val="18"/>
    </w:rPr>
  </w:style>
  <w:style w:type="paragraph" w:styleId="873">
    <w:name w:val="endnote text"/>
    <w:basedOn w:val="704"/>
    <w:link w:val="874"/>
    <w:uiPriority w:val="99"/>
    <w:semiHidden/>
    <w:unhideWhenUsed/>
    <w:rPr>
      <w:sz w:val="20"/>
    </w:rPr>
  </w:style>
  <w:style w:type="character" w:styleId="874" w:customStyle="1">
    <w:name w:val="Текст концевой сноски Знак"/>
    <w:link w:val="873"/>
    <w:uiPriority w:val="99"/>
    <w:rPr>
      <w:sz w:val="20"/>
    </w:rPr>
  </w:style>
  <w:style w:type="character" w:styleId="875">
    <w:name w:val="endnote reference"/>
    <w:basedOn w:val="714"/>
    <w:uiPriority w:val="99"/>
    <w:semiHidden/>
    <w:unhideWhenUsed/>
    <w:rPr>
      <w:vertAlign w:val="superscript"/>
    </w:rPr>
  </w:style>
  <w:style w:type="paragraph" w:styleId="876">
    <w:name w:val="toc 1"/>
    <w:basedOn w:val="704"/>
    <w:next w:val="704"/>
    <w:uiPriority w:val="39"/>
    <w:unhideWhenUsed/>
    <w:pPr>
      <w:spacing w:after="57"/>
    </w:pPr>
  </w:style>
  <w:style w:type="paragraph" w:styleId="877">
    <w:name w:val="toc 2"/>
    <w:basedOn w:val="704"/>
    <w:next w:val="704"/>
    <w:uiPriority w:val="39"/>
    <w:unhideWhenUsed/>
    <w:pPr>
      <w:ind w:left="283"/>
      <w:spacing w:after="57"/>
    </w:pPr>
  </w:style>
  <w:style w:type="paragraph" w:styleId="878">
    <w:name w:val="toc 3"/>
    <w:basedOn w:val="704"/>
    <w:next w:val="704"/>
    <w:uiPriority w:val="39"/>
    <w:unhideWhenUsed/>
    <w:pPr>
      <w:ind w:left="567"/>
      <w:spacing w:after="57"/>
    </w:pPr>
  </w:style>
  <w:style w:type="paragraph" w:styleId="879">
    <w:name w:val="toc 4"/>
    <w:basedOn w:val="704"/>
    <w:next w:val="704"/>
    <w:uiPriority w:val="39"/>
    <w:unhideWhenUsed/>
    <w:pPr>
      <w:ind w:left="850"/>
      <w:spacing w:after="57"/>
    </w:pPr>
  </w:style>
  <w:style w:type="paragraph" w:styleId="880">
    <w:name w:val="toc 5"/>
    <w:basedOn w:val="704"/>
    <w:next w:val="704"/>
    <w:uiPriority w:val="39"/>
    <w:unhideWhenUsed/>
    <w:pPr>
      <w:ind w:left="1134"/>
      <w:spacing w:after="57"/>
    </w:pPr>
  </w:style>
  <w:style w:type="paragraph" w:styleId="881">
    <w:name w:val="toc 6"/>
    <w:basedOn w:val="704"/>
    <w:next w:val="704"/>
    <w:uiPriority w:val="39"/>
    <w:unhideWhenUsed/>
    <w:pPr>
      <w:ind w:left="1417"/>
      <w:spacing w:after="57"/>
    </w:pPr>
  </w:style>
  <w:style w:type="paragraph" w:styleId="882">
    <w:name w:val="toc 7"/>
    <w:basedOn w:val="704"/>
    <w:next w:val="704"/>
    <w:uiPriority w:val="39"/>
    <w:unhideWhenUsed/>
    <w:pPr>
      <w:ind w:left="1701"/>
      <w:spacing w:after="57"/>
    </w:pPr>
  </w:style>
  <w:style w:type="paragraph" w:styleId="883">
    <w:name w:val="toc 8"/>
    <w:basedOn w:val="704"/>
    <w:next w:val="704"/>
    <w:uiPriority w:val="39"/>
    <w:unhideWhenUsed/>
    <w:pPr>
      <w:ind w:left="1984"/>
      <w:spacing w:after="57"/>
    </w:pPr>
  </w:style>
  <w:style w:type="paragraph" w:styleId="884">
    <w:name w:val="toc 9"/>
    <w:basedOn w:val="704"/>
    <w:next w:val="704"/>
    <w:uiPriority w:val="39"/>
    <w:unhideWhenUsed/>
    <w:pPr>
      <w:ind w:left="2268"/>
      <w:spacing w:after="57"/>
    </w:pPr>
  </w:style>
  <w:style w:type="paragraph" w:styleId="885">
    <w:name w:val="TOC Heading"/>
    <w:uiPriority w:val="39"/>
    <w:unhideWhenUsed/>
  </w:style>
  <w:style w:type="paragraph" w:styleId="886">
    <w:name w:val="table of figures"/>
    <w:basedOn w:val="704"/>
    <w:next w:val="704"/>
    <w:uiPriority w:val="99"/>
    <w:unhideWhenUsed/>
  </w:style>
  <w:style w:type="paragraph" w:styleId="887">
    <w:name w:val="List Paragraph"/>
    <w:basedOn w:val="704"/>
    <w:uiPriority w:val="34"/>
    <w:qFormat/>
    <w:pPr>
      <w:contextualSpacing/>
      <w:ind w:left="720"/>
    </w:pPr>
  </w:style>
  <w:style w:type="paragraph" w:styleId="888" w:customStyle="1">
    <w:name w:val="Стиль ис"/>
    <w:basedOn w:val="704"/>
    <w:link w:val="890"/>
    <w:qFormat/>
    <w:pPr>
      <w:ind w:firstLine="567"/>
      <w:jc w:val="both"/>
      <w:tabs>
        <w:tab w:val="left" w:pos="851" w:leader="none"/>
      </w:tabs>
    </w:pPr>
  </w:style>
  <w:style w:type="paragraph" w:styleId="889" w:customStyle="1">
    <w:name w:val="Стиль ИСС"/>
    <w:basedOn w:val="704"/>
    <w:link w:val="891"/>
    <w:qFormat/>
    <w:pPr>
      <w:ind w:firstLine="567"/>
      <w:jc w:val="both"/>
      <w:tabs>
        <w:tab w:val="left" w:pos="851" w:leader="none"/>
      </w:tabs>
    </w:pPr>
  </w:style>
  <w:style w:type="character" w:styleId="890" w:customStyle="1">
    <w:name w:val="Стиль ис Знак"/>
    <w:link w:val="88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91" w:customStyle="1">
    <w:name w:val="Стиль ИСС Знак"/>
    <w:link w:val="88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2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893">
    <w:name w:val="Hyperlink"/>
    <w:uiPriority w:val="99"/>
    <w:unhideWhenUsed/>
    <w:rPr>
      <w:color w:val="0000ff"/>
      <w:u w:val="single"/>
    </w:rPr>
  </w:style>
  <w:style w:type="paragraph" w:styleId="894">
    <w:name w:val="Balloon Text"/>
    <w:basedOn w:val="704"/>
    <w:link w:val="895"/>
    <w:unhideWhenUsed/>
    <w:rPr>
      <w:rFonts w:ascii="Tahoma" w:hAnsi="Tahoma" w:cs="Tahoma"/>
      <w:sz w:val="16"/>
      <w:szCs w:val="16"/>
    </w:rPr>
  </w:style>
  <w:style w:type="character" w:styleId="895" w:customStyle="1">
    <w:name w:val="Текст выноски Знак"/>
    <w:basedOn w:val="714"/>
    <w:link w:val="894"/>
    <w:rPr>
      <w:rFonts w:ascii="Tahoma" w:hAnsi="Tahoma" w:eastAsia="Times New Roman" w:cs="Tahoma"/>
      <w:sz w:val="16"/>
      <w:szCs w:val="16"/>
      <w:lang w:eastAsia="ru-RU"/>
    </w:rPr>
  </w:style>
  <w:style w:type="paragraph" w:styleId="896" w:customStyle="1">
    <w:name w:val="Исполнитель"/>
    <w:basedOn w:val="897"/>
    <w:pPr>
      <w:ind w:firstLine="709"/>
      <w:jc w:val="both"/>
      <w:spacing w:after="0" w:line="240" w:lineRule="exact"/>
    </w:pPr>
    <w:rPr>
      <w:sz w:val="28"/>
      <w:szCs w:val="20"/>
    </w:rPr>
  </w:style>
  <w:style w:type="paragraph" w:styleId="897">
    <w:name w:val="Body Text"/>
    <w:basedOn w:val="704"/>
    <w:link w:val="898"/>
    <w:unhideWhenUsed/>
    <w:pPr>
      <w:spacing w:after="120"/>
    </w:pPr>
  </w:style>
  <w:style w:type="character" w:styleId="898" w:customStyle="1">
    <w:name w:val="Основной текст Знак"/>
    <w:basedOn w:val="714"/>
    <w:link w:val="897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9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0">
    <w:name w:val="footnote text"/>
    <w:basedOn w:val="704"/>
    <w:link w:val="901"/>
    <w:semiHidden/>
    <w:unhideWhenUsed/>
    <w:rPr>
      <w:sz w:val="20"/>
      <w:szCs w:val="20"/>
    </w:rPr>
  </w:style>
  <w:style w:type="character" w:styleId="901" w:customStyle="1">
    <w:name w:val="Текст сноски Знак"/>
    <w:basedOn w:val="714"/>
    <w:link w:val="900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02">
    <w:name w:val="footnote reference"/>
    <w:basedOn w:val="714"/>
    <w:uiPriority w:val="99"/>
    <w:semiHidden/>
    <w:unhideWhenUsed/>
    <w:rPr>
      <w:vertAlign w:val="superscript"/>
    </w:rPr>
  </w:style>
  <w:style w:type="paragraph" w:styleId="903" w:customStyle="1">
    <w:name w:val="ConsPlusNormal"/>
    <w:qFormat/>
    <w:pPr>
      <w:spacing w:after="0" w:line="240" w:lineRule="auto"/>
      <w:widowControl w:val="off"/>
    </w:pPr>
    <w:rPr>
      <w:rFonts w:ascii="Arial" w:hAnsi="Arial" w:cs="Arial" w:eastAsiaTheme="minorEastAsia"/>
      <w:sz w:val="20"/>
      <w:szCs w:val="20"/>
      <w:lang w:eastAsia="ru-RU"/>
    </w:rPr>
  </w:style>
  <w:style w:type="paragraph" w:styleId="904" w:customStyle="1">
    <w:name w:val="СтильИС"/>
    <w:basedOn w:val="704"/>
    <w:link w:val="905"/>
    <w:qFormat/>
    <w:pPr>
      <w:ind w:right="21"/>
      <w:jc w:val="center"/>
    </w:pPr>
    <w:rPr>
      <w:sz w:val="22"/>
      <w:szCs w:val="22"/>
    </w:rPr>
  </w:style>
  <w:style w:type="character" w:styleId="905" w:customStyle="1">
    <w:name w:val="СтильИС Знак"/>
    <w:link w:val="904"/>
    <w:rPr>
      <w:rFonts w:ascii="Times New Roman" w:hAnsi="Times New Roman" w:eastAsia="Times New Roman" w:cs="Times New Roman"/>
      <w:lang w:eastAsia="ru-RU"/>
    </w:rPr>
  </w:style>
  <w:style w:type="character" w:styleId="906" w:customStyle="1">
    <w:name w:val="Заголовок 1 Знак"/>
    <w:basedOn w:val="714"/>
    <w:link w:val="705"/>
    <w:rPr>
      <w:rFonts w:ascii="Times New Roman" w:hAnsi="Times New Roman" w:eastAsia="Times New Roman" w:cs="Times New Roman"/>
      <w:b/>
      <w:bCs/>
      <w:sz w:val="18"/>
      <w:szCs w:val="24"/>
      <w:lang w:eastAsia="ru-RU"/>
    </w:rPr>
  </w:style>
  <w:style w:type="character" w:styleId="907" w:customStyle="1">
    <w:name w:val="Заголовок 2 Знак"/>
    <w:basedOn w:val="714"/>
    <w:link w:val="706"/>
    <w:rPr>
      <w:rFonts w:ascii="Times New Roman" w:hAnsi="Times New Roman" w:eastAsia="Times New Roman" w:cs="Times New Roman"/>
      <w:b/>
      <w:bCs/>
      <w:sz w:val="16"/>
      <w:szCs w:val="24"/>
      <w:lang w:eastAsia="ru-RU"/>
    </w:rPr>
  </w:style>
  <w:style w:type="character" w:styleId="908" w:customStyle="1">
    <w:name w:val="Заголовок 3 Знак"/>
    <w:basedOn w:val="714"/>
    <w:link w:val="707"/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character" w:styleId="909" w:customStyle="1">
    <w:name w:val="Заголовок 6 Знак"/>
    <w:basedOn w:val="714"/>
    <w:link w:val="710"/>
    <w:rPr>
      <w:rFonts w:ascii="Times New Roman" w:hAnsi="Times New Roman" w:eastAsia="Times New Roman" w:cs="Times New Roman"/>
      <w:b/>
      <w:bCs/>
      <w:sz w:val="20"/>
      <w:szCs w:val="24"/>
      <w:lang w:eastAsia="ru-RU"/>
    </w:rPr>
  </w:style>
  <w:style w:type="character" w:styleId="910" w:customStyle="1">
    <w:name w:val="defaultlabelstyle3"/>
    <w:rPr>
      <w:rFonts w:hint="default" w:ascii="Trebuchet MS" w:hAnsi="Trebuchet MS"/>
      <w:color w:val="333333"/>
    </w:rPr>
  </w:style>
  <w:style w:type="paragraph" w:styleId="911" w:customStyle="1">
    <w:name w:val="Стиль ИС"/>
    <w:basedOn w:val="704"/>
    <w:link w:val="912"/>
    <w:qFormat/>
    <w:pPr>
      <w:ind w:right="21"/>
      <w:jc w:val="both"/>
    </w:pPr>
    <w:rPr>
      <w:sz w:val="22"/>
      <w:szCs w:val="22"/>
    </w:rPr>
  </w:style>
  <w:style w:type="character" w:styleId="912" w:customStyle="1">
    <w:name w:val="Стиль ИС Знак"/>
    <w:link w:val="911"/>
    <w:rPr>
      <w:rFonts w:ascii="Times New Roman" w:hAnsi="Times New Roman" w:eastAsia="Times New Roman" w:cs="Times New Roman"/>
      <w:lang w:eastAsia="ru-RU"/>
    </w:rPr>
  </w:style>
  <w:style w:type="paragraph" w:styleId="913" w:customStyle="1">
    <w:name w:val="ис"/>
    <w:basedOn w:val="704"/>
    <w:link w:val="914"/>
    <w:qFormat/>
    <w:pPr>
      <w:ind w:left="142" w:right="-2"/>
      <w:jc w:val="center"/>
    </w:pPr>
    <w:rPr>
      <w:b/>
    </w:rPr>
  </w:style>
  <w:style w:type="character" w:styleId="914" w:customStyle="1">
    <w:name w:val="ис Знак"/>
    <w:link w:val="913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915">
    <w:name w:val="List Bullet"/>
    <w:basedOn w:val="704"/>
    <w:unhideWhenUsed/>
    <w:pPr>
      <w:jc w:val="both"/>
    </w:pPr>
    <w:rPr>
      <w:bCs/>
      <w:sz w:val="28"/>
      <w:szCs w:val="28"/>
    </w:rPr>
  </w:style>
  <w:style w:type="numbering" w:styleId="916" w:customStyle="1">
    <w:name w:val="Нет списка1"/>
    <w:next w:val="716"/>
    <w:semiHidden/>
  </w:style>
  <w:style w:type="paragraph" w:styleId="917" w:customStyle="1">
    <w:name w:val="Заголовок к тексту"/>
    <w:basedOn w:val="704"/>
    <w:next w:val="897"/>
    <w:pPr>
      <w:spacing w:after="480" w:line="240" w:lineRule="exact"/>
    </w:pPr>
    <w:rPr>
      <w:b/>
      <w:sz w:val="28"/>
      <w:szCs w:val="20"/>
    </w:rPr>
  </w:style>
  <w:style w:type="paragraph" w:styleId="918" w:customStyle="1">
    <w:name w:val="регистрационные поля"/>
    <w:basedOn w:val="704"/>
    <w:pPr>
      <w:jc w:val="center"/>
      <w:spacing w:line="240" w:lineRule="exact"/>
    </w:pPr>
    <w:rPr>
      <w:sz w:val="28"/>
      <w:szCs w:val="20"/>
      <w:lang w:val="en-US"/>
    </w:rPr>
  </w:style>
  <w:style w:type="paragraph" w:styleId="919">
    <w:name w:val="Footer"/>
    <w:basedOn w:val="704"/>
    <w:link w:val="920"/>
    <w:pPr>
      <w:tabs>
        <w:tab w:val="center" w:pos="4677" w:leader="none"/>
        <w:tab w:val="right" w:pos="9355" w:leader="none"/>
      </w:tabs>
    </w:pPr>
    <w:rPr>
      <w:sz w:val="28"/>
      <w:szCs w:val="20"/>
    </w:rPr>
  </w:style>
  <w:style w:type="character" w:styleId="920" w:customStyle="1">
    <w:name w:val="Нижний колонтитул Знак"/>
    <w:basedOn w:val="714"/>
    <w:link w:val="919"/>
    <w:rPr>
      <w:rFonts w:ascii="Times New Roman" w:hAnsi="Times New Roman" w:eastAsia="Times New Roman" w:cs="Times New Roman"/>
      <w:sz w:val="28"/>
      <w:szCs w:val="20"/>
    </w:rPr>
  </w:style>
  <w:style w:type="paragraph" w:styleId="921" w:customStyle="1">
    <w:name w:val="Подпись на  бланке должностного лица"/>
    <w:basedOn w:val="704"/>
    <w:next w:val="897"/>
    <w:pPr>
      <w:ind w:left="7088"/>
      <w:spacing w:before="480" w:line="240" w:lineRule="exact"/>
    </w:pPr>
    <w:rPr>
      <w:sz w:val="28"/>
      <w:szCs w:val="20"/>
    </w:rPr>
  </w:style>
  <w:style w:type="paragraph" w:styleId="922">
    <w:name w:val="Signature"/>
    <w:basedOn w:val="704"/>
    <w:next w:val="897"/>
    <w:link w:val="923"/>
    <w:pPr>
      <w:spacing w:before="480" w:line="240" w:lineRule="exact"/>
      <w:tabs>
        <w:tab w:val="left" w:pos="5103" w:leader="none"/>
        <w:tab w:val="right" w:pos="9639" w:leader="none"/>
      </w:tabs>
    </w:pPr>
    <w:rPr>
      <w:sz w:val="28"/>
      <w:szCs w:val="20"/>
    </w:rPr>
  </w:style>
  <w:style w:type="character" w:styleId="923" w:customStyle="1">
    <w:name w:val="Подпись Знак"/>
    <w:basedOn w:val="714"/>
    <w:link w:val="922"/>
    <w:rPr>
      <w:rFonts w:ascii="Times New Roman" w:hAnsi="Times New Roman" w:eastAsia="Times New Roman" w:cs="Times New Roman"/>
      <w:sz w:val="28"/>
      <w:szCs w:val="20"/>
    </w:rPr>
  </w:style>
  <w:style w:type="paragraph" w:styleId="924" w:customStyle="1">
    <w:name w:val="Приложение"/>
    <w:basedOn w:val="897"/>
    <w:pPr>
      <w:ind w:left="1985" w:hanging="1985"/>
      <w:jc w:val="both"/>
      <w:spacing w:before="240" w:after="0" w:line="240" w:lineRule="exact"/>
      <w:tabs>
        <w:tab w:val="left" w:pos="1673" w:leader="none"/>
      </w:tabs>
    </w:pPr>
    <w:rPr>
      <w:sz w:val="28"/>
      <w:szCs w:val="20"/>
    </w:rPr>
  </w:style>
  <w:style w:type="paragraph" w:styleId="925">
    <w:name w:val="Block Text"/>
    <w:basedOn w:val="704"/>
    <w:pPr>
      <w:ind w:left="72" w:right="4855"/>
      <w:jc w:val="center"/>
      <w:tabs>
        <w:tab w:val="left" w:pos="72" w:leader="none"/>
        <w:tab w:val="left" w:pos="3960" w:leader="none"/>
        <w:tab w:val="left" w:pos="6192" w:leader="none"/>
      </w:tabs>
    </w:pPr>
    <w:rPr>
      <w:b/>
      <w:bCs/>
      <w:sz w:val="20"/>
    </w:rPr>
  </w:style>
  <w:style w:type="numbering" w:styleId="926" w:customStyle="1">
    <w:name w:val="Нет списка2"/>
    <w:next w:val="716"/>
    <w:semiHidden/>
  </w:style>
  <w:style w:type="paragraph" w:styleId="927">
    <w:name w:val="Header"/>
    <w:basedOn w:val="704"/>
    <w:link w:val="928"/>
    <w:uiPriority w:val="99"/>
    <w:unhideWhenUsed/>
    <w:pPr>
      <w:spacing w:after="200" w:line="276" w:lineRule="auto"/>
      <w:tabs>
        <w:tab w:val="center" w:pos="4677" w:leader="none"/>
        <w:tab w:val="right" w:pos="9355" w:leader="none"/>
      </w:tabs>
    </w:pPr>
    <w:rPr>
      <w:rFonts w:ascii="Calibri" w:hAnsi="Calibri" w:eastAsia="Calibri"/>
      <w:sz w:val="22"/>
      <w:szCs w:val="22"/>
      <w:lang w:eastAsia="en-US"/>
    </w:rPr>
  </w:style>
  <w:style w:type="character" w:styleId="928" w:customStyle="1">
    <w:name w:val="Верхний колонтитул Знак"/>
    <w:basedOn w:val="714"/>
    <w:link w:val="927"/>
    <w:uiPriority w:val="99"/>
    <w:rPr>
      <w:rFonts w:ascii="Calibri" w:hAnsi="Calibri" w:eastAsia="Calibri" w:cs="Times New Roman"/>
    </w:rPr>
  </w:style>
  <w:style w:type="character" w:styleId="929">
    <w:name w:val="annotation reference"/>
    <w:uiPriority w:val="99"/>
    <w:semiHidden/>
    <w:unhideWhenUsed/>
    <w:rPr>
      <w:sz w:val="16"/>
      <w:szCs w:val="16"/>
    </w:rPr>
  </w:style>
  <w:style w:type="paragraph" w:styleId="930">
    <w:name w:val="annotation text"/>
    <w:basedOn w:val="704"/>
    <w:link w:val="931"/>
    <w:uiPriority w:val="99"/>
    <w:semiHidden/>
    <w:unhideWhenUsed/>
    <w:pPr>
      <w:spacing w:after="200" w:line="276" w:lineRule="auto"/>
    </w:pPr>
    <w:rPr>
      <w:rFonts w:ascii="Calibri" w:hAnsi="Calibri" w:eastAsia="Calibri"/>
      <w:sz w:val="20"/>
      <w:szCs w:val="20"/>
      <w:lang w:eastAsia="en-US"/>
    </w:rPr>
  </w:style>
  <w:style w:type="character" w:styleId="931" w:customStyle="1">
    <w:name w:val="Текст примечания Знак"/>
    <w:basedOn w:val="714"/>
    <w:link w:val="930"/>
    <w:uiPriority w:val="99"/>
    <w:semiHidden/>
    <w:rPr>
      <w:rFonts w:ascii="Calibri" w:hAnsi="Calibri" w:eastAsia="Calibri" w:cs="Times New Roman"/>
      <w:sz w:val="20"/>
      <w:szCs w:val="20"/>
    </w:rPr>
  </w:style>
  <w:style w:type="paragraph" w:styleId="932">
    <w:name w:val="annotation subject"/>
    <w:basedOn w:val="930"/>
    <w:next w:val="930"/>
    <w:link w:val="933"/>
    <w:uiPriority w:val="99"/>
    <w:semiHidden/>
    <w:unhideWhenUsed/>
    <w:rPr>
      <w:b/>
      <w:bCs/>
    </w:rPr>
  </w:style>
  <w:style w:type="character" w:styleId="933" w:customStyle="1">
    <w:name w:val="Тема примечания Знак"/>
    <w:basedOn w:val="931"/>
    <w:link w:val="932"/>
    <w:uiPriority w:val="99"/>
    <w:semiHidden/>
    <w:rPr>
      <w:rFonts w:ascii="Calibri" w:hAnsi="Calibri" w:eastAsia="Calibri" w:cs="Times New Roman"/>
      <w:b/>
      <w:bCs/>
      <w:sz w:val="20"/>
      <w:szCs w:val="20"/>
    </w:rPr>
  </w:style>
  <w:style w:type="table" w:styleId="934">
    <w:name w:val="Table Grid"/>
    <w:basedOn w:val="715"/>
    <w:uiPriority w:val="5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numbering" w:styleId="935" w:customStyle="1">
    <w:name w:val="Нет списка3"/>
    <w:next w:val="716"/>
    <w:uiPriority w:val="99"/>
    <w:semiHidden/>
    <w:unhideWhenUsed/>
  </w:style>
  <w:style w:type="numbering" w:styleId="936" w:customStyle="1">
    <w:name w:val="Нет списка11"/>
    <w:next w:val="716"/>
    <w:semiHidden/>
  </w:style>
  <w:style w:type="paragraph" w:styleId="937">
    <w:name w:val="Title"/>
    <w:basedOn w:val="704"/>
    <w:next w:val="704"/>
    <w:link w:val="938"/>
    <w:uiPriority w:val="10"/>
    <w:qFormat/>
    <w:pPr>
      <w:jc w:val="center"/>
      <w:spacing w:before="240" w:after="60" w:line="276" w:lineRule="auto"/>
      <w:outlineLvl w:val="0"/>
    </w:pPr>
    <w:rPr>
      <w:rFonts w:ascii="Cambria" w:hAnsi="Cambria"/>
      <w:b/>
      <w:bCs/>
      <w:sz w:val="32"/>
      <w:szCs w:val="32"/>
      <w:lang w:eastAsia="en-US"/>
    </w:rPr>
  </w:style>
  <w:style w:type="character" w:styleId="938" w:customStyle="1">
    <w:name w:val="Название Знак"/>
    <w:basedOn w:val="714"/>
    <w:link w:val="937"/>
    <w:uiPriority w:val="10"/>
    <w:rPr>
      <w:rFonts w:ascii="Cambria" w:hAnsi="Cambria" w:eastAsia="Times New Roman" w:cs="Times New Roman"/>
      <w:b/>
      <w:bCs/>
      <w:sz w:val="32"/>
      <w:szCs w:val="32"/>
    </w:rPr>
  </w:style>
  <w:style w:type="paragraph" w:styleId="939">
    <w:name w:val="Body Text Indent"/>
    <w:basedOn w:val="704"/>
    <w:link w:val="940"/>
    <w:uiPriority w:val="99"/>
    <w:unhideWhenUsed/>
    <w:pPr>
      <w:ind w:left="283"/>
      <w:spacing w:after="120"/>
    </w:pPr>
  </w:style>
  <w:style w:type="character" w:styleId="940" w:customStyle="1">
    <w:name w:val="Основной текст с отступом Знак"/>
    <w:basedOn w:val="714"/>
    <w:link w:val="93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1">
    <w:name w:val="Body Text Indent 2"/>
    <w:basedOn w:val="704"/>
    <w:link w:val="942"/>
    <w:uiPriority w:val="99"/>
    <w:semiHidden/>
    <w:unhideWhenUsed/>
    <w:pPr>
      <w:ind w:left="283"/>
      <w:spacing w:after="120" w:line="480" w:lineRule="auto"/>
    </w:pPr>
  </w:style>
  <w:style w:type="character" w:styleId="942" w:customStyle="1">
    <w:name w:val="Основной текст с отступом 2 Знак"/>
    <w:basedOn w:val="714"/>
    <w:link w:val="941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3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944" w:customStyle="1">
    <w:name w:val="Обычный1"/>
    <w:pPr>
      <w:ind w:left="40" w:firstLine="100"/>
      <w:jc w:val="both"/>
      <w:spacing w:after="0" w:line="240" w:lineRule="auto"/>
      <w:widowControl w:val="off"/>
    </w:pPr>
    <w:rPr>
      <w:rFonts w:ascii="Arial" w:hAnsi="Arial" w:eastAsia="Times New Roman" w:cs="Times New Roman"/>
      <w:sz w:val="16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utp.sberbank-ast.ru/AP/Notice/652/Instruction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8289F-741C-4C3A-9054-1ADFB2CBC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 Сергей Григорьевич</dc:creator>
  <cp:keywords/>
  <dc:description/>
  <cp:lastModifiedBy>osleskova@pk.gov</cp:lastModifiedBy>
  <cp:revision>29</cp:revision>
  <dcterms:created xsi:type="dcterms:W3CDTF">2026-06-29T09:36:00Z</dcterms:created>
  <dcterms:modified xsi:type="dcterms:W3CDTF">2026-09-03T11:45:07Z</dcterms:modified>
</cp:coreProperties>
</file>