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Next/>
        <w:spacing w:line="26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ИНФОРМАЦИОННОЕ СООБЩЕНИЕ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7"/>
        <w:jc w:val="center"/>
        <w:spacing w:line="26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продаже государственного имущества </w:t>
      </w:r>
      <w:r>
        <w:rPr>
          <w:sz w:val="28"/>
          <w:szCs w:val="28"/>
        </w:rPr>
        <w:t xml:space="preserve">Пермского края в порядке </w:t>
      </w:r>
      <w:r>
        <w:rPr>
          <w:sz w:val="28"/>
          <w:szCs w:val="28"/>
        </w:rPr>
        <w:br/>
        <w:t xml:space="preserve">приватизации на </w:t>
      </w:r>
      <w:r>
        <w:rPr>
          <w:sz w:val="28"/>
          <w:szCs w:val="28"/>
        </w:rPr>
        <w:t xml:space="preserve">конкурсе</w:t>
      </w:r>
      <w:r>
        <w:rPr>
          <w:rFonts w:eastAsiaTheme="minorEastAsia"/>
          <w:sz w:val="28"/>
          <w:szCs w:val="28"/>
        </w:rPr>
        <w:t xml:space="preserve"> в электронной форме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7"/>
        <w:ind w:firstLine="709"/>
        <w:jc w:val="center"/>
        <w:spacing w:line="28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 (далее – Продавец) сообщает о продаже </w:t>
      </w:r>
      <w:r>
        <w:rPr>
          <w:rFonts w:eastAsiaTheme="minorEastAsia"/>
          <w:sz w:val="28"/>
          <w:szCs w:val="28"/>
        </w:rPr>
        <w:t xml:space="preserve">краевого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порядке приватизации на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в электронной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1. Наименование государственного органа, принявшего решение </w:t>
      </w:r>
      <w:r>
        <w:rPr>
          <w:b/>
          <w:sz w:val="28"/>
          <w:szCs w:val="28"/>
        </w:rPr>
        <w:br/>
        <w:t xml:space="preserve">об условиях приватизации краевого имущества, реквизиты указанного решения:</w:t>
      </w:r>
      <w:r>
        <w:rPr>
          <w:sz w:val="28"/>
          <w:szCs w:val="28"/>
        </w:rPr>
        <w:t xml:space="preserve"> Министерство по управлению имуществом и градостроительной деятельности Пермского края; приказ Мин</w:t>
      </w:r>
      <w:r>
        <w:rPr>
          <w:sz w:val="28"/>
          <w:szCs w:val="28"/>
          <w:highlight w:val="white"/>
        </w:rPr>
        <w:t xml:space="preserve">истерства </w:t>
      </w:r>
      <w:r>
        <w:rPr>
          <w:sz w:val="28"/>
          <w:szCs w:val="28"/>
          <w:highlight w:val="white"/>
        </w:rPr>
        <w:t xml:space="preserve">по управлению имуществом</w:t>
      </w:r>
      <w:r>
        <w:rPr>
          <w:sz w:val="28"/>
          <w:szCs w:val="28"/>
          <w:highlight w:val="white"/>
        </w:rPr>
        <w:br/>
        <w:t xml:space="preserve">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от </w:t>
      </w:r>
      <w:r>
        <w:rPr>
          <w:sz w:val="28"/>
          <w:szCs w:val="28"/>
          <w:highlight w:val="white"/>
        </w:rPr>
        <w:t xml:space="preserve">18</w:t>
      </w:r>
      <w:r>
        <w:rPr>
          <w:sz w:val="28"/>
          <w:szCs w:val="28"/>
          <w:highlight w:val="white"/>
        </w:rPr>
        <w:t xml:space="preserve"> сентября</w:t>
      </w:r>
      <w:r>
        <w:rPr>
          <w:sz w:val="28"/>
          <w:szCs w:val="28"/>
          <w:highlight w:val="white"/>
        </w:rPr>
        <w:t xml:space="preserve"> 202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 г.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  <w:highlight w:val="white"/>
        </w:rPr>
        <w:t xml:space="preserve">31-02-1-4-</w:t>
      </w:r>
      <w:r>
        <w:rPr>
          <w:sz w:val="28"/>
          <w:szCs w:val="28"/>
          <w:highlight w:val="white"/>
        </w:rPr>
        <w:t xml:space="preserve">2187</w:t>
      </w:r>
      <w:r>
        <w:rPr>
          <w:sz w:val="28"/>
          <w:szCs w:val="28"/>
          <w:highlight w:val="white"/>
        </w:rPr>
        <w:t xml:space="preserve"> «</w:t>
      </w:r>
      <w:r>
        <w:rPr>
          <w:sz w:val="28"/>
          <w:szCs w:val="28"/>
          <w:highlight w:val="white"/>
        </w:rPr>
        <w:t xml:space="preserve">Об условиях приватизации имущества Пермского края, являющегося объектом культурного наследия, включенным в единый государственный реестр объектов культурного наследия</w:t>
      </w:r>
      <w:r>
        <w:rPr>
          <w:sz w:val="28"/>
          <w:szCs w:val="28"/>
          <w:highlight w:val="white"/>
        </w:rPr>
        <w:t xml:space="preserve"> (памятников истории </w:t>
      </w:r>
      <w:r>
        <w:rPr>
          <w:sz w:val="28"/>
          <w:szCs w:val="28"/>
          <w:highlight w:val="white"/>
        </w:rPr>
        <w:br/>
        <w:t xml:space="preserve">и культуры) народов Российской Федерации, на конкурсе в</w:t>
      </w:r>
      <w:r>
        <w:rPr>
          <w:sz w:val="28"/>
          <w:szCs w:val="28"/>
        </w:rPr>
        <w:t xml:space="preserve"> электронной форме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Наименование, место нахождения, почтовый адрес, адрес электронной почты, номер контактного телефона Продавца: </w:t>
      </w: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края; 614000, Пермский край, г. Пермь, ул. Сибирская, д. 30а, корпус А; электронная почта: </w:t>
      </w:r>
      <w:r>
        <w:rPr>
          <w:sz w:val="28"/>
          <w:szCs w:val="28"/>
          <w:lang w:val="en-US"/>
        </w:rPr>
        <w:t xml:space="preserve">nazubareva</w:t>
      </w:r>
      <w:r>
        <w:rPr>
          <w:sz w:val="28"/>
          <w:szCs w:val="28"/>
        </w:rPr>
        <w:t xml:space="preserve">@</w:t>
      </w:r>
      <w:r>
        <w:rPr>
          <w:sz w:val="28"/>
          <w:szCs w:val="28"/>
          <w:lang w:val="en-US"/>
        </w:rPr>
        <w:t xml:space="preserve">auprim</w:t>
      </w:r>
      <w:r>
        <w:rPr>
          <w:sz w:val="28"/>
          <w:szCs w:val="28"/>
        </w:rPr>
        <w:t xml:space="preserve">.permkra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.ru; номер контактного тел.: (342) 2110467 (доб. 1168); факс: (342) 211 04 02.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Наименование краевого имущества и иные позволяющие </w:t>
      </w:r>
      <w:r>
        <w:rPr>
          <w:b/>
          <w:sz w:val="28"/>
          <w:szCs w:val="28"/>
        </w:rPr>
        <w:br/>
        <w:t xml:space="preserve">его индивидуализировать сведения (спецификация лота):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Лот №1.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Административное здание, кадастровый номе</w:t>
      </w:r>
      <w:r>
        <w:rPr>
          <w:sz w:val="28"/>
          <w:szCs w:val="28"/>
        </w:rPr>
        <w:t xml:space="preserve">р 81:02:0000000:192, назначение: нежилое, площадь 444,8 кв. м, по адресу: Российская Федерация, Пермский край, м.о. Косинский, с. Коса, ул. Ленина, д. 150а, являющееся объектом культурного наследия регионального значения «Больница земская», в соответствии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распоряжением губернатора Пермской области от 5 декабря 2000 г. № 713-р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 государственном учете недвижимых памятн</w:t>
      </w:r>
      <w:r>
        <w:rPr>
          <w:sz w:val="28"/>
          <w:szCs w:val="28"/>
        </w:rPr>
        <w:t xml:space="preserve">иков истории и культуры Пермского края регионального значения» признанное находящимся в неудовлетворительном состоянии на основании приказа Государственной инспекции по охране объектов культурного наследия Пермского края от 27 мая 2026 г. № Пр55-01-06-203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«Об отнесении объекта культурного наследия регионального значения «Больница земская», </w:t>
      </w:r>
      <w:r>
        <w:rPr>
          <w:sz w:val="28"/>
          <w:szCs w:val="28"/>
        </w:rPr>
        <w:t xml:space="preserve">расположенного по адресу: Пермский край, Косинский муниципальный округ, с. Коса, улица Ленина, д. 150а, к объектам культурного наследия, находящимся в неудовлетворительном состоянии»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охранное обязательство собственника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или иного законного владельца объекта культурного</w:t>
      </w:r>
      <w:r>
        <w:rPr>
          <w:sz w:val="28"/>
          <w:szCs w:val="28"/>
        </w:rPr>
        <w:t xml:space="preserve"> наследия, включенного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 «</w:t>
      </w:r>
      <w:r>
        <w:rPr>
          <w:sz w:val="28"/>
          <w:szCs w:val="28"/>
        </w:rPr>
        <w:t xml:space="preserve">Больница земская</w:t>
      </w:r>
      <w:r>
        <w:rPr>
          <w:sz w:val="28"/>
          <w:szCs w:val="28"/>
        </w:rPr>
        <w:t xml:space="preserve">», утвержденн</w:t>
      </w:r>
      <w:r>
        <w:rPr>
          <w:sz w:val="28"/>
          <w:szCs w:val="28"/>
        </w:rPr>
        <w:t xml:space="preserve">ое</w:t>
      </w:r>
      <w:r>
        <w:rPr>
          <w:sz w:val="28"/>
          <w:szCs w:val="28"/>
        </w:rPr>
        <w:t xml:space="preserve"> приказом Государственной инспекции по охране объектов культурного наследия Пермского края от 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мая 2026 г. № Пр55-01-06-19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«Об утверждении охранного обязательства собственника или иного законного владельца объекта культурного наследия регионального значения «</w:t>
      </w:r>
      <w:r>
        <w:rPr>
          <w:sz w:val="28"/>
          <w:szCs w:val="28"/>
        </w:rPr>
        <w:t xml:space="preserve">Больница земская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Приватизация Объекта осуществляется с одновременным предоставлением победителю конкурса земельного участка площадью </w:t>
      </w:r>
      <w:r>
        <w:rPr>
          <w:sz w:val="28"/>
          <w:szCs w:val="28"/>
        </w:rPr>
        <w:t xml:space="preserve">6063</w:t>
      </w:r>
      <w:r>
        <w:rPr>
          <w:sz w:val="28"/>
          <w:szCs w:val="28"/>
        </w:rPr>
        <w:t xml:space="preserve"> кв.м. с кадастровым номером </w:t>
      </w:r>
      <w:r>
        <w:rPr>
          <w:sz w:val="28"/>
          <w:szCs w:val="28"/>
        </w:rPr>
        <w:t xml:space="preserve">81:02:0010005:404</w:t>
      </w:r>
      <w:r>
        <w:rPr>
          <w:sz w:val="28"/>
          <w:szCs w:val="28"/>
        </w:rPr>
        <w:t xml:space="preserve">, категория земель: земли населенных пунктов, </w:t>
      </w:r>
      <w:r>
        <w:rPr>
          <w:sz w:val="28"/>
          <w:szCs w:val="28"/>
        </w:rPr>
        <w:t xml:space="preserve">виды разрешенного использования: под зданиями, строениями, сооружениями, адрес: Российская Федерация, Пермский край, муниципальный округ Косинский, село Коса, </w:t>
      </w:r>
      <w:r>
        <w:rPr>
          <w:sz w:val="28"/>
          <w:szCs w:val="28"/>
        </w:rPr>
        <w:t xml:space="preserve">улица Ленина, занимаемого Объектом культурного наследия и необходимого для его использования</w:t>
      </w:r>
      <w:r>
        <w:rPr>
          <w:sz w:val="28"/>
          <w:szCs w:val="28"/>
        </w:rPr>
        <w:t xml:space="preserve">, в аренду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Начальная цена продажи краевого имущества: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00 копеек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учетом НДС.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Величина повышения начальной цены («шаг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»): </w:t>
      </w:r>
      <w:r>
        <w:rPr>
          <w:sz w:val="28"/>
          <w:szCs w:val="28"/>
        </w:rPr>
        <w:t xml:space="preserve">143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123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Сто сорок три тысячи сто двадцать три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51 </w:t>
      </w:r>
      <w:r>
        <w:rPr>
          <w:sz w:val="28"/>
          <w:szCs w:val="28"/>
        </w:rPr>
        <w:t xml:space="preserve">копе</w:t>
      </w:r>
      <w:r>
        <w:rPr>
          <w:sz w:val="28"/>
          <w:szCs w:val="28"/>
        </w:rPr>
        <w:t xml:space="preserve">йк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учетом НДС, что составляет 5% от </w:t>
      </w:r>
      <w:r>
        <w:rPr>
          <w:sz w:val="28"/>
          <w:szCs w:val="28"/>
        </w:rPr>
        <w:t xml:space="preserve">кадастровой стоимости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задатка: </w:t>
      </w:r>
      <w:r>
        <w:rPr>
          <w:sz w:val="28"/>
          <w:szCs w:val="28"/>
        </w:rPr>
        <w:t xml:space="preserve">572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494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Пятьсот семьдесят две тысячи четыреста девяносто четыре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копеек, что составляет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0%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кадастровой стоимости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iCs/>
          <w:sz w:val="28"/>
          <w:szCs w:val="28"/>
        </w:rPr>
      </w:pPr>
      <w:r>
        <w:rPr>
          <w:iCs/>
          <w:sz w:val="28"/>
          <w:szCs w:val="28"/>
          <w:shd w:val="clear" w:color="auto" w:fill="ffffff"/>
        </w:rPr>
        <w:t xml:space="preserve">Внесенный победителем продажи задаток засчитывается в счет оплаты приобретаемого имущества.</w:t>
      </w:r>
      <w:r>
        <w:rPr>
          <w:iCs/>
          <w:sz w:val="28"/>
          <w:szCs w:val="28"/>
        </w:rPr>
        <w:t xml:space="preserve"> Победителю конкурса возвращается часть задатка </w:t>
      </w:r>
      <w:r>
        <w:rPr>
          <w:iCs/>
          <w:sz w:val="28"/>
          <w:szCs w:val="28"/>
        </w:rPr>
        <w:br/>
      </w:r>
      <w:r>
        <w:rPr>
          <w:iCs/>
          <w:sz w:val="28"/>
          <w:szCs w:val="28"/>
        </w:rPr>
        <w:t xml:space="preserve">в сумме, превышающей цену приобретения данного имущества.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4. Способ приватизации краевого имущества: </w:t>
      </w:r>
      <w:r>
        <w:rPr>
          <w:sz w:val="28"/>
          <w:szCs w:val="28"/>
        </w:rPr>
        <w:t xml:space="preserve">продажа краевого имущества на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в электронной форме </w:t>
      </w:r>
      <w:r>
        <w:rPr>
          <w:sz w:val="28"/>
          <w:szCs w:val="28"/>
        </w:rPr>
        <w:t xml:space="preserve">на электронной площадке </w:t>
      </w:r>
      <w:r>
        <w:rPr>
          <w:sz w:val="28"/>
          <w:szCs w:val="28"/>
        </w:rPr>
        <w:br/>
        <w:t xml:space="preserve">АО «Сбербанк-Автоматизированная система торгов», включенной</w:t>
      </w:r>
      <w:r>
        <w:rPr>
          <w:sz w:val="28"/>
          <w:szCs w:val="28"/>
        </w:rPr>
        <w:t xml:space="preserve">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Федерации от 4 декабря 2015 г. № 2488-р, (далее - Организатор), расположенной на сайте </w:t>
      </w:r>
      <w:r>
        <w:rPr>
          <w:sz w:val="28"/>
          <w:szCs w:val="28"/>
          <w:lang w:val="en-US"/>
        </w:rPr>
        <w:t xml:space="preserve">http</w:t>
      </w:r>
      <w:r>
        <w:rPr>
          <w:sz w:val="28"/>
          <w:szCs w:val="28"/>
        </w:rPr>
        <w:t xml:space="preserve">://</w:t>
      </w:r>
      <w:r>
        <w:rPr>
          <w:sz w:val="28"/>
          <w:szCs w:val="28"/>
          <w:lang w:val="en-US"/>
        </w:rPr>
        <w:t xml:space="preserve">utp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sberbank</w:t>
      </w: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ast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AP</w:t>
      </w:r>
      <w:r>
        <w:rPr>
          <w:rStyle w:val="891"/>
          <w:rFonts w:eastAsia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</w:rPr>
        <w:t xml:space="preserve">5. Форма подачи предложений о цене краевого имущества:</w:t>
      </w:r>
      <w:r>
        <w:rPr>
          <w:sz w:val="28"/>
          <w:szCs w:val="28"/>
        </w:rPr>
        <w:t xml:space="preserve"> представление предложений о цене имущества осуществляется зарегистрированным участником продажи в течение одной процедуры проведения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 Подача предложений </w:t>
      </w:r>
      <w:r>
        <w:rPr>
          <w:sz w:val="28"/>
          <w:szCs w:val="28"/>
        </w:rPr>
        <w:br/>
        <w:t xml:space="preserve">о цене имущества осуществляется в «личном кабинете» участника посредством штатного интерфейса в день и время проведения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, указанные в настоящем </w:t>
      </w:r>
      <w:r>
        <w:rPr>
          <w:sz w:val="28"/>
          <w:szCs w:val="28"/>
          <w:highlight w:val="white"/>
        </w:rPr>
        <w:t xml:space="preserve">Информационном сообщении, на электронной площадке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  <w:highlight w:val="white"/>
        </w:rPr>
        <w:br/>
        <w:t xml:space="preserve">в сети «Интернет».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6. Сроки и порядок внесения и возвращения задатка, назначение платежа, реквизиты счета: </w:t>
      </w:r>
      <w:r>
        <w:rPr>
          <w:sz w:val="28"/>
          <w:szCs w:val="28"/>
          <w:highlight w:val="white"/>
        </w:rPr>
        <w:t xml:space="preserve">для участия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 претенденты перечисляют задаток </w:t>
      </w:r>
      <w:r>
        <w:rPr>
          <w:sz w:val="28"/>
          <w:szCs w:val="28"/>
          <w:highlight w:val="white"/>
        </w:rPr>
        <w:br/>
        <w:t xml:space="preserve">в установленном настоящим Информационном сообщении размере в счет обеспечения оплаты приобретаемого имущества </w:t>
      </w:r>
      <w:r>
        <w:rPr>
          <w:b/>
          <w:sz w:val="28"/>
          <w:szCs w:val="28"/>
          <w:highlight w:val="white"/>
        </w:rPr>
        <w:t xml:space="preserve">на счет Организатора - </w:t>
      </w:r>
      <w:r>
        <w:rPr>
          <w:b/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АО «Сбербанк-АСТ»; ИНН 7707308480 КПП 770401001; расчетный счет 40702810300020038047; ПАО «Сбербанк России» г. Москва; БИК 044525225; корреспондентский счет 30101810400000000225.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42"/>
        <w:ind w:left="0" w:firstLine="709"/>
        <w:spacing w:line="280" w:lineRule="exac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23:59 часов (МСК) «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15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» октя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бря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2026 г.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Перечисление денежных средств в качестве задатка (депозита) (ИНН плательщика), НДС не облагается, для участия в продаже краевого имущества на 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 в электронной форме. Лот №__.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Настоящее Информационное сообщение является публичной офертой </w:t>
      </w:r>
      <w:r>
        <w:rPr>
          <w:sz w:val="28"/>
          <w:szCs w:val="28"/>
          <w:highlight w:val="white"/>
        </w:rPr>
        <w:br/>
        <w:t xml:space="preserve">для зак</w:t>
      </w:r>
      <w:r>
        <w:rPr>
          <w:sz w:val="28"/>
          <w:szCs w:val="28"/>
          <w:highlight w:val="white"/>
        </w:rPr>
        <w:t xml:space="preserve">лючения договора о задатке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Лицам, перечислившим задаток для участия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, денежные средства возвращаются в следующем порядке: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а) участникам, за исключением его победителя - в течение пяти дней с даты подведения итогов </w:t>
      </w:r>
      <w:r>
        <w:rPr>
          <w:sz w:val="28"/>
          <w:szCs w:val="28"/>
          <w:highlight w:val="white"/>
        </w:rPr>
        <w:t xml:space="preserve">конкурса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б) претендентам, не допущенным к участию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, - в течение </w:t>
      </w:r>
      <w:r>
        <w:rPr>
          <w:sz w:val="28"/>
          <w:szCs w:val="28"/>
          <w:highlight w:val="white"/>
        </w:rPr>
        <w:br/>
        <w:t xml:space="preserve">5 календарных дней со дня подписания протокола о признании претендентов участниками </w:t>
      </w:r>
      <w:r>
        <w:rPr>
          <w:sz w:val="28"/>
          <w:szCs w:val="28"/>
          <w:highlight w:val="white"/>
        </w:rPr>
        <w:t xml:space="preserve">конкурса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в) претендентам, отозвавшим в установленном порядке заявки до даты окончания приема заявок, - задаток возвращается в течение 5 календарных дней </w:t>
      </w:r>
      <w:r>
        <w:rPr>
          <w:sz w:val="28"/>
          <w:szCs w:val="28"/>
          <w:highlight w:val="white"/>
        </w:rPr>
        <w:br/>
        <w:t xml:space="preserve">со дня поступления уведомления об отзыве заявки на участие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. В случае отзыва претендентом заявки позднее дня окончания приема заявок, задаток возвращается в порядке, установленном для претендентов, не допущенных к участию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уклонении или отказе победителя </w:t>
      </w:r>
      <w:r>
        <w:rPr>
          <w:sz w:val="28"/>
          <w:szCs w:val="28"/>
          <w:highlight w:val="white"/>
        </w:rPr>
        <w:t xml:space="preserve">конкурса </w:t>
      </w:r>
      <w:r>
        <w:rPr>
          <w:sz w:val="28"/>
          <w:szCs w:val="28"/>
          <w:highlight w:val="white"/>
        </w:rPr>
        <w:t xml:space="preserve">от заключения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установленный срок договора купли-продажи имущества </w:t>
      </w:r>
      <w:r>
        <w:rPr>
          <w:sz w:val="28"/>
          <w:szCs w:val="28"/>
          <w:highlight w:val="white"/>
        </w:rPr>
        <w:t xml:space="preserve">результаты конкурса аннулируются продавцом, победитель утрачивает право на заключение указанного договора, задаток ему не возвращается.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7. Порядок, дата и время регистрации на сайте в сети «Интернет» претендентов и подачи заявок на участие в </w:t>
      </w:r>
      <w:r>
        <w:rPr>
          <w:b/>
          <w:bCs/>
          <w:sz w:val="28"/>
          <w:szCs w:val="28"/>
          <w:highlight w:val="white"/>
        </w:rPr>
        <w:t xml:space="preserve">конкурсе</w:t>
      </w:r>
      <w:r>
        <w:rPr>
          <w:b/>
          <w:bCs/>
          <w:sz w:val="28"/>
          <w:szCs w:val="28"/>
          <w:highlight w:val="white"/>
        </w:rPr>
        <w:t xml:space="preserve">: </w:t>
      </w:r>
      <w:r>
        <w:rPr>
          <w:bCs/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ля участия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 претенденты должны зарегистрироваться на сайте http://utp.sberbank-ast.ru в сети «Интернет» в порядке, установленном Регламентом торговой секции «Приватизация, аренда и продажа прав» универсальной торговой платформы АО «Сбербанк-АСТ», без взимания платы.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Регистрации на электронной площадке подлежат претенденты, ранее </w:t>
      </w:r>
      <w:r>
        <w:rPr>
          <w:sz w:val="28"/>
          <w:szCs w:val="28"/>
          <w:highlight w:val="white"/>
        </w:rPr>
        <w:br/>
        <w:t xml:space="preserve">не зарегистрированные на электронной площадке, или регистрация которых </w:t>
      </w:r>
      <w:r>
        <w:rPr>
          <w:sz w:val="28"/>
          <w:szCs w:val="28"/>
          <w:highlight w:val="white"/>
        </w:rPr>
        <w:br/>
        <w:t xml:space="preserve">на электронной площадке была ими прекращена.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возможность регистрации претендентов </w:t>
      </w:r>
      <w:r>
        <w:rPr>
          <w:sz w:val="28"/>
          <w:szCs w:val="28"/>
          <w:highlight w:val="white"/>
        </w:rPr>
        <w:br/>
        <w:t xml:space="preserve">на электронной площадке, ввод ими идентифицирующих данных (имя пользователя и пароль) и возможность изменения пароля, открывает раздел, доступ к которому имеют только продавец и участники (закрытая часть электронной площадки).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</w:t>
      </w:r>
      <w:r>
        <w:rPr>
          <w:sz w:val="28"/>
          <w:szCs w:val="28"/>
          <w:highlight w:val="white"/>
        </w:rPr>
        <w:br/>
        <w:t xml:space="preserve">АО «Сбербанк-АСТ» размещена по адресу: </w:t>
      </w:r>
      <w:hyperlink r:id="rId10" w:tooltip="http://utp.sberbank-ast.ru/AP/Notice/652/Instructions" w:history="1">
        <w:r>
          <w:rPr>
            <w:rStyle w:val="891"/>
            <w:rFonts w:eastAsia="Arial"/>
            <w:sz w:val="28"/>
            <w:szCs w:val="28"/>
            <w:highlight w:val="white"/>
          </w:rPr>
          <w:t xml:space="preserve">http://utp.sberbank-ast.ru/AP/Notice/652/Instructions</w:t>
        </w:r>
      </w:hyperlink>
      <w:r>
        <w:rPr>
          <w:rStyle w:val="891"/>
          <w:sz w:val="28"/>
          <w:szCs w:val="28"/>
          <w:highlight w:val="white"/>
          <w:u w:val="non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</w:t>
      </w:r>
      <w:r>
        <w:rPr>
          <w:sz w:val="28"/>
          <w:szCs w:val="28"/>
          <w:highlight w:val="white"/>
        </w:rPr>
        <w:br/>
        <w:t xml:space="preserve">в форме электронных документов либо электронных образов документов (документов на бумажном носителе, пре</w:t>
      </w:r>
      <w:r>
        <w:rPr>
          <w:sz w:val="28"/>
          <w:szCs w:val="28"/>
          <w:highlight w:val="white"/>
        </w:rPr>
        <w:t xml:space="preserve">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Прием заявок и прилагаемых к ним документов начинается с даты и времени, указанных в настоящем Информационном сообщении.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Подача заявки на участие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 осуществляется претендентом, зарегистрированным на сайте в сети «Интернет», указанном в настоящем Информационном сообщении, из «личного кабинета» посредством штатного интерфейса электронной площадки </w:t>
      </w:r>
      <w:r>
        <w:rPr>
          <w:sz w:val="28"/>
          <w:szCs w:val="28"/>
          <w:highlight w:val="white"/>
        </w:rPr>
        <w:t xml:space="preserve">АО «Сбербанк-АСТ» </w:t>
      </w:r>
      <w:r>
        <w:rPr>
          <w:sz w:val="28"/>
          <w:szCs w:val="28"/>
          <w:highlight w:val="white"/>
        </w:rPr>
        <w:t xml:space="preserve">торговой секции «</w:t>
      </w:r>
      <w:r>
        <w:rPr>
          <w:sz w:val="28"/>
          <w:szCs w:val="28"/>
          <w:highlight w:val="white"/>
        </w:rPr>
        <w:t xml:space="preserve">Приватизация, аренда и продажа прав</w:t>
      </w:r>
      <w:r>
        <w:rPr>
          <w:sz w:val="28"/>
          <w:szCs w:val="28"/>
          <w:highlight w:val="white"/>
        </w:rPr>
        <w:t xml:space="preserve">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Заявка подается путем заполнения ее электронной формы, размещенной </w:t>
      </w:r>
      <w:r>
        <w:rPr>
          <w:sz w:val="28"/>
          <w:szCs w:val="28"/>
          <w:highlight w:val="white"/>
        </w:rPr>
        <w:br/>
        <w:t xml:space="preserve">в открытой для доступа неограниченного круга лиц части электронной площадки (</w:t>
      </w:r>
      <w:r>
        <w:rPr>
          <w:sz w:val="28"/>
          <w:szCs w:val="28"/>
          <w:highlight w:val="white"/>
        </w:rPr>
        <w:t xml:space="preserve">открытая часть электронной площадки), с приложением электронных документов в соответствии с перечнем, приведенным в настоящем Информационном сообщении, заверенных электронной подписью претендента либо лица, имеющего право действовать от имени претендента: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физические лица: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копии всех листов документа, удостоверяющего личность;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юридические лица: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bCs/>
          <w:sz w:val="28"/>
          <w:szCs w:val="28"/>
          <w:highlight w:val="white"/>
        </w:rPr>
        <w:t xml:space="preserve">заверенные копии учредительных документов</w:t>
      </w:r>
      <w:r>
        <w:rPr>
          <w:sz w:val="28"/>
          <w:szCs w:val="28"/>
          <w:highlight w:val="white"/>
        </w:rPr>
        <w:t xml:space="preserve">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документ, содержащий сведения о доле Российской Фед</w:t>
      </w:r>
      <w:r>
        <w:rPr>
          <w:sz w:val="28"/>
          <w:szCs w:val="28"/>
          <w:highlight w:val="white"/>
        </w:rPr>
        <w:t xml:space="preserve">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>
        <w:rPr>
          <w:sz w:val="28"/>
          <w:szCs w:val="28"/>
          <w:highlight w:val="white"/>
        </w:rPr>
        <w:br/>
        <w:t xml:space="preserve"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случае, если от имени претендента действует его представитель по доверенности, к заявке должна быть приложена доверенность на осуществление действий от имени претендента, оформленная в установленном порядке, или нотариальн</w:t>
      </w:r>
      <w:r>
        <w:rPr>
          <w:sz w:val="28"/>
          <w:szCs w:val="28"/>
          <w:highlight w:val="white"/>
        </w:rPr>
        <w:t xml:space="preserve">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Одно лицо имеет право подать только одну заявку на один объект приватизации.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Заявка должна соответствовать требованиям Продавца.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подачу претен</w:t>
      </w:r>
      <w:r>
        <w:rPr>
          <w:sz w:val="28"/>
          <w:szCs w:val="28"/>
          <w:highlight w:val="white"/>
        </w:rPr>
        <w:t xml:space="preserve">дентами заявок при условии заполнения ими всех полей, принятие и регистрацию в электронных журналах заявок и прилагаемых к ним документов (в журнале приема заявок). Каждой заявке присваивается номер с указанием даты и времени приема. В течение одного часа </w:t>
      </w:r>
      <w:r>
        <w:rPr>
          <w:sz w:val="28"/>
          <w:szCs w:val="28"/>
          <w:highlight w:val="white"/>
        </w:rPr>
        <w:br/>
        <w:t xml:space="preserve">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конфиденциальность сведений о поступивших заявках и прилагаемых к ним документах, а также сведений о лицах, подавших заявки, до момента размещения на электронной площадке информации об итогах приема заявок (определения участников).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Уведомление об отзыве заявки вместе с заявкой в течение одного часа поступает </w:t>
      </w:r>
      <w:r>
        <w:rPr>
          <w:sz w:val="28"/>
          <w:szCs w:val="28"/>
          <w:highlight w:val="white"/>
        </w:rPr>
        <w:br/>
        <w:t xml:space="preserve">в «личный кабинет» Продавца, о чем претенденту направляется соответствующее уведомление.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прекращение подачи заявок по истечении срока </w:t>
      </w:r>
      <w:r>
        <w:rPr>
          <w:sz w:val="28"/>
          <w:szCs w:val="28"/>
          <w:highlight w:val="white"/>
        </w:rPr>
        <w:br/>
        <w:t xml:space="preserve">их приема, указанного в настоящем Информационном сообщении.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продажи государственного краевого имущества </w:t>
      </w:r>
      <w:r>
        <w:rPr>
          <w:sz w:val="28"/>
          <w:szCs w:val="28"/>
          <w:highlight w:val="white"/>
        </w:rPr>
        <w:br/>
        <w:t xml:space="preserve">в порядке приватизации вправе продлить срок подачи заявок на участие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br/>
        <w:t xml:space="preserve">и перенести принятие решения о победителе на другую дату, а также принять решение об отказе от проведения </w:t>
      </w:r>
      <w:r>
        <w:rPr>
          <w:sz w:val="28"/>
          <w:szCs w:val="28"/>
          <w:highlight w:val="white"/>
        </w:rPr>
        <w:t xml:space="preserve">конкурса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8. Место, даты и время</w:t>
      </w:r>
      <w:r>
        <w:rPr>
          <w:b/>
          <w:sz w:val="28"/>
          <w:szCs w:val="28"/>
          <w:highlight w:val="white"/>
        </w:rPr>
        <w:t xml:space="preserve"> начала и окончания подачи заявок и проведения </w:t>
      </w:r>
      <w:r>
        <w:rPr>
          <w:b/>
          <w:sz w:val="28"/>
          <w:szCs w:val="28"/>
          <w:highlight w:val="white"/>
        </w:rPr>
        <w:t xml:space="preserve">конкурса</w:t>
      </w:r>
      <w:r>
        <w:rPr>
          <w:b/>
          <w:sz w:val="28"/>
          <w:szCs w:val="28"/>
          <w:highlight w:val="white"/>
        </w:rPr>
        <w:t xml:space="preserve">: </w:t>
      </w:r>
      <w:r>
        <w:rPr>
          <w:sz w:val="28"/>
          <w:szCs w:val="28"/>
          <w:highlight w:val="white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- московское.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spacing w:line="280" w:lineRule="exact"/>
        <w:widowControl w:val="off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начала подачи заявок</w:t>
      </w:r>
      <w:r>
        <w:rPr>
          <w:sz w:val="28"/>
          <w:szCs w:val="28"/>
          <w:highlight w:val="white"/>
        </w:rPr>
        <w:t xml:space="preserve"> на участие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: </w:t>
      </w:r>
      <w:r>
        <w:rPr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19 сентября</w:t>
      </w:r>
      <w:r>
        <w:rPr>
          <w:b/>
          <w:bCs/>
          <w:sz w:val="28"/>
          <w:szCs w:val="28"/>
          <w:highlight w:val="white"/>
        </w:rPr>
        <w:t xml:space="preserve"> 2</w:t>
      </w:r>
      <w:r>
        <w:rPr>
          <w:b/>
          <w:sz w:val="28"/>
          <w:szCs w:val="28"/>
          <w:highlight w:val="white"/>
        </w:rPr>
        <w:t xml:space="preserve">02</w:t>
      </w:r>
      <w:r>
        <w:rPr>
          <w:b/>
          <w:sz w:val="28"/>
          <w:szCs w:val="28"/>
          <w:highlight w:val="white"/>
        </w:rPr>
        <w:t xml:space="preserve">6</w:t>
      </w:r>
      <w:r>
        <w:rPr>
          <w:b/>
          <w:sz w:val="28"/>
          <w:szCs w:val="28"/>
          <w:highlight w:val="white"/>
        </w:rPr>
        <w:t xml:space="preserve"> г.</w:t>
      </w:r>
      <w:r>
        <w:rPr>
          <w:sz w:val="28"/>
          <w:szCs w:val="28"/>
          <w:highlight w:val="white"/>
        </w:rPr>
        <w:t xml:space="preserve">,</w:t>
      </w:r>
      <w:r>
        <w:rPr>
          <w:b/>
          <w:sz w:val="28"/>
          <w:szCs w:val="28"/>
          <w:highlight w:val="white"/>
        </w:rPr>
        <w:t xml:space="preserve"> </w:t>
      </w:r>
      <w:r>
        <w:rPr>
          <w:b/>
          <w:sz w:val="28"/>
          <w:szCs w:val="28"/>
          <w:highlight w:val="white"/>
        </w:rPr>
        <w:t xml:space="preserve">0</w:t>
      </w:r>
      <w:r>
        <w:rPr>
          <w:b/>
          <w:sz w:val="28"/>
          <w:szCs w:val="28"/>
          <w:highlight w:val="white"/>
        </w:rPr>
        <w:t xml:space="preserve">0.00 час. </w:t>
      </w:r>
      <w:r>
        <w:rPr>
          <w:b/>
          <w:sz w:val="28"/>
          <w:szCs w:val="28"/>
          <w:highlight w:val="white"/>
        </w:rPr>
        <w:t xml:space="preserve">(московское время)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окончания подачи заявок</w:t>
      </w:r>
      <w:r>
        <w:rPr>
          <w:sz w:val="28"/>
          <w:szCs w:val="28"/>
          <w:highlight w:val="white"/>
        </w:rPr>
        <w:t xml:space="preserve"> на участие в </w:t>
      </w:r>
      <w:r>
        <w:rPr>
          <w:sz w:val="28"/>
          <w:szCs w:val="28"/>
          <w:highlight w:val="white"/>
        </w:rPr>
        <w:t xml:space="preserve">конкурсе</w:t>
      </w:r>
      <w:r>
        <w:rPr>
          <w:sz w:val="28"/>
          <w:szCs w:val="28"/>
          <w:highlight w:val="white"/>
        </w:rPr>
        <w:t xml:space="preserve">: </w:t>
      </w:r>
      <w:r>
        <w:rPr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14 октя</w:t>
      </w:r>
      <w:r>
        <w:rPr>
          <w:b/>
          <w:bCs/>
          <w:sz w:val="28"/>
          <w:szCs w:val="28"/>
          <w:highlight w:val="white"/>
        </w:rPr>
        <w:t xml:space="preserve">бря</w:t>
      </w:r>
      <w:r>
        <w:rPr>
          <w:b/>
          <w:bCs/>
          <w:sz w:val="28"/>
          <w:szCs w:val="28"/>
          <w:highlight w:val="white"/>
        </w:rPr>
        <w:t xml:space="preserve"> 2</w:t>
      </w:r>
      <w:r>
        <w:rPr>
          <w:b/>
          <w:sz w:val="28"/>
          <w:szCs w:val="28"/>
          <w:highlight w:val="white"/>
        </w:rPr>
        <w:t xml:space="preserve">026 г., 00.00 час. </w:t>
      </w:r>
      <w:r>
        <w:rPr>
          <w:b/>
          <w:sz w:val="28"/>
          <w:szCs w:val="28"/>
          <w:highlight w:val="white"/>
        </w:rPr>
        <w:t xml:space="preserve">(московское время)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подачи заявок:</w:t>
      </w:r>
      <w:r>
        <w:rPr>
          <w:sz w:val="28"/>
          <w:szCs w:val="28"/>
          <w:highlight w:val="white"/>
        </w:rPr>
        <w:t xml:space="preserve"> электронная площадка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  <w:highlight w:val="white"/>
        </w:rPr>
        <w:br/>
        <w:t xml:space="preserve">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spacing w:line="280" w:lineRule="exact"/>
        <w:widowControl w:val="off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рассмотрения заявок и признания претендентов участниками </w:t>
      </w:r>
      <w:r>
        <w:rPr>
          <w:b/>
          <w:sz w:val="28"/>
          <w:szCs w:val="28"/>
          <w:highlight w:val="white"/>
        </w:rPr>
        <w:t xml:space="preserve">конкурса</w:t>
      </w:r>
      <w:r>
        <w:rPr>
          <w:b/>
          <w:sz w:val="28"/>
          <w:szCs w:val="28"/>
          <w:highlight w:val="white"/>
        </w:rPr>
        <w:t xml:space="preserve">: </w:t>
      </w:r>
      <w:r>
        <w:rPr>
          <w:b/>
          <w:sz w:val="28"/>
          <w:szCs w:val="28"/>
          <w:highlight w:val="white"/>
        </w:rPr>
        <w:t xml:space="preserve">16 октября</w:t>
      </w:r>
      <w:r>
        <w:rPr>
          <w:b/>
          <w:sz w:val="28"/>
          <w:szCs w:val="28"/>
          <w:highlight w:val="white"/>
        </w:rPr>
        <w:t xml:space="preserve"> 2026 г.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 позднее следующего рабочего дня после дня подписания протокола </w:t>
      </w:r>
      <w:r>
        <w:rPr>
          <w:sz w:val="28"/>
          <w:szCs w:val="28"/>
          <w:highlight w:val="white"/>
        </w:rPr>
        <w:br/>
        <w:t xml:space="preserve">о признании претендентов участниками </w:t>
      </w:r>
      <w:r>
        <w:rPr>
          <w:sz w:val="28"/>
          <w:szCs w:val="28"/>
          <w:highlight w:val="white"/>
        </w:rPr>
        <w:t xml:space="preserve">конкурса</w:t>
      </w:r>
      <w:r>
        <w:rPr>
          <w:sz w:val="28"/>
          <w:szCs w:val="28"/>
          <w:highlight w:val="white"/>
        </w:rPr>
        <w:t xml:space="preserve"> всем претендентам, подавшим заявки, направляется уведомление о признании их участниками </w:t>
      </w:r>
      <w:r>
        <w:rPr>
          <w:sz w:val="28"/>
          <w:szCs w:val="28"/>
          <w:highlight w:val="white"/>
        </w:rPr>
        <w:t xml:space="preserve">конкурса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br/>
        <w:t xml:space="preserve">или об отказе в признании участниками </w:t>
      </w:r>
      <w:r>
        <w:rPr>
          <w:sz w:val="28"/>
          <w:szCs w:val="28"/>
          <w:highlight w:val="white"/>
        </w:rPr>
        <w:t xml:space="preserve">конкурса</w:t>
      </w:r>
      <w:r>
        <w:rPr>
          <w:sz w:val="28"/>
          <w:szCs w:val="28"/>
          <w:highlight w:val="white"/>
        </w:rPr>
        <w:t xml:space="preserve"> с указанием оснований отказа.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уведомление претендентов о принятом Продавцом решении о признании их участниками либо отказе в доступе к участию в продаже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проведения </w:t>
      </w:r>
      <w:r>
        <w:rPr>
          <w:b/>
          <w:sz w:val="28"/>
          <w:szCs w:val="28"/>
          <w:highlight w:val="white"/>
        </w:rPr>
        <w:t xml:space="preserve">конкурса</w:t>
      </w:r>
      <w:r>
        <w:rPr>
          <w:b/>
          <w:sz w:val="28"/>
          <w:szCs w:val="28"/>
          <w:highlight w:val="white"/>
        </w:rPr>
        <w:t xml:space="preserve">: </w:t>
      </w:r>
      <w:r>
        <w:rPr>
          <w:b/>
          <w:sz w:val="28"/>
          <w:szCs w:val="28"/>
          <w:highlight w:val="white"/>
        </w:rPr>
        <w:t xml:space="preserve">19 октября</w:t>
      </w:r>
      <w:r>
        <w:rPr>
          <w:b/>
          <w:sz w:val="28"/>
          <w:szCs w:val="28"/>
          <w:highlight w:val="white"/>
        </w:rPr>
        <w:t xml:space="preserve"> 2026 г., </w:t>
      </w:r>
      <w:r>
        <w:rPr>
          <w:b/>
          <w:sz w:val="28"/>
          <w:szCs w:val="28"/>
          <w:highlight w:val="white"/>
        </w:rPr>
        <w:t xml:space="preserve">07</w:t>
      </w:r>
      <w:r>
        <w:rPr>
          <w:b/>
          <w:sz w:val="28"/>
          <w:szCs w:val="28"/>
          <w:highlight w:val="white"/>
        </w:rPr>
        <w:t xml:space="preserve">.00 час.</w:t>
      </w:r>
      <w:r>
        <w:rPr>
          <w:b/>
          <w:sz w:val="28"/>
          <w:szCs w:val="28"/>
          <w:highlight w:val="white"/>
        </w:rPr>
        <w:t xml:space="preserve"> (московское время).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Место проведения </w:t>
      </w:r>
      <w:r>
        <w:rPr>
          <w:b/>
          <w:sz w:val="28"/>
          <w:szCs w:val="28"/>
          <w:highlight w:val="white"/>
        </w:rPr>
        <w:t xml:space="preserve">конкурса</w:t>
      </w:r>
      <w:r>
        <w:rPr>
          <w:b/>
          <w:sz w:val="28"/>
          <w:szCs w:val="28"/>
          <w:highlight w:val="white"/>
        </w:rPr>
        <w:t xml:space="preserve"> и подведения итогов: </w:t>
      </w:r>
      <w:r>
        <w:rPr>
          <w:sz w:val="28"/>
          <w:szCs w:val="28"/>
          <w:highlight w:val="white"/>
        </w:rPr>
        <w:t xml:space="preserve">электронная площадка – </w:t>
      </w:r>
      <w:r>
        <w:rPr>
          <w:sz w:val="28"/>
          <w:szCs w:val="28"/>
        </w:rPr>
        <w:t xml:space="preserve">универсальная торговая платформа АО «Сбербанк-АСТ», размещенная на сайте http://utp.sberbank-ast.ru в сети «Интернет» (торговая секция «Приватизация, аренда и продажа прав»).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равный доступ участников к процедуре 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9. Условия конкурса при продаже объекта культурного наследия регионального значения «</w:t>
      </w:r>
      <w:r>
        <w:rPr>
          <w:b/>
          <w:bCs/>
          <w:sz w:val="28"/>
          <w:szCs w:val="28"/>
        </w:rPr>
        <w:t xml:space="preserve">Больница земская</w:t>
      </w:r>
      <w:r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1) Обязанность нового собственника по выполнению тре</w:t>
      </w:r>
      <w:r>
        <w:rPr>
          <w:sz w:val="28"/>
          <w:szCs w:val="28"/>
        </w:rPr>
        <w:t xml:space="preserve">бований к сохранению Объекта, к содержанию и использованию Объекта, к обеспечению доступа к Объекту, к размещению наружной рекламы, к установке надписей и обозначений, содержащих информацию об объекте культурного наследия, и иных требований, установленных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охранном обязательстве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</w:t>
      </w:r>
      <w:r>
        <w:rPr>
          <w:sz w:val="28"/>
          <w:szCs w:val="28"/>
        </w:rPr>
        <w:t xml:space="preserve"> культуры) народов Российской Федерации, «Больница земская» с регистрационным номером объекта культурного наследия в Реестре 591510241210005, утвержденного приказом Государственной инспекции по охране объектов культурного наследия Пермского края от 26 мая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2026 г. № Пр55-01-06-199 «Об утверждении охранного обязательства собственника или иного законного владельца объекта культурного наследия регионального значения «Больница земская».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2) Обязанность нового собственника по выполнению в отношении Объекта требований, предусмотренных статьями 47.2 – 47.4 Федерального закона от 25 июня 2002 г. № 73-ФЗ «Об объектах культурного наследия (памятниках истории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культуры) народов Российской Федерации», а также иных требований, установленных законодательством в отношении объектов культурного наследия.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3) Обязанность нового собственника по обращению в Государственную инспекцию по охране объектов культурного наследия Пермского края за заданием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проведение работ по сохранению объекта культурного наследия в срок не позднее 30 дней с даты регистрации перехода права собственности на Объект.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4) Обязанность нового собственника по обеспечению разработки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согласования проектной документации по сохранению приобретённого объекта культурного наследия в соответствии со ст. 45 Федерального закона от 25 июня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2002 г. № 73-ФЗ «Об объектах культурного наследия (памятниках истории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культуры) народов Российской Федерации» в срок не позднее 1 года с даты регистрации перехода права собственности на Объект.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5) Обязанность нового собственника по проведению работ по сохранению Объекта в соответствии с охранным обязательством, проектной документацией в срок до 31 декабря 2029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6) Экономическое обоснование в силу прямого указания федерального законодательства: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 статья 29 Федерального закона от 21 декабря 2001 г. № 178-ФЗ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 приватизации государственного и муниципального имущества»;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 статья 48 Федерального закона от 25 июня 2002 г. № 73-ФЗ «Об объектах культурного наследия (памятниках истории и культуры) народов Российской Федерации».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7) Срок исполнения условий конкурса: до 31 декабря 2029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8) Порядок подтверждения победителем конкурса исполнения условий конкурса: устанавливается в договоре купли-продажи (приложение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к информационному сообщению).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и дополнений в условия конкурса и обязательства победителя после заключения договора купли-продажи не допускается,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за исключением случаев, предусмотренных статьей 451 Гражданского кодекса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9) Покупатель (новый собственник) не может отчуждать Объект третьим лицам до подписания акта приемки выполненных работ по сохранению объекта культурного наследия.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10) В случае нарушения новым собственником Объекта существенных условий договора купли-продажи договор купли-продажи подлежит расторжению.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11) В случае расторжения договора купли-продажи Объекта в связи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нарушением новым собственником обязанности выпол</w:t>
      </w:r>
      <w:r>
        <w:rPr>
          <w:sz w:val="28"/>
          <w:szCs w:val="28"/>
        </w:rPr>
        <w:t xml:space="preserve">нить в срок и в полном объеме условия конкурса Объект подлежит возврату в собственность Пермского края без возмещения собственнику стоимости Объекта, включая неотделимые улучшения, и без компенсации расходов, связанных с исполнением договора купли-продажи.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12) Приватизация Объекта осуществляется с одновременным предоставлением победителю конкурса в аренду земельного участка площадью 6063 кв.м.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кадастровым номером 81:02:0010005:404, категория земель: земли населенных пунктов, виды разрешенного использования: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под зданиями, строениями, сооружениями, адрес: Российская Федерация, Пермский край, муниципальный округ Косинский, село Коса, улица Ленина, занимаемого Объектом культурного наследия и необходимого для его использования.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13) Размер арендной платы за земельный участок, на котором расположен Объект, устанавливается равным одному рублю в год на весь срок выполнения условий конкурса.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10</w:t>
      </w:r>
      <w:r>
        <w:rPr>
          <w:b/>
          <w:sz w:val="28"/>
          <w:szCs w:val="28"/>
        </w:rPr>
        <w:t xml:space="preserve">. Правила проведения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 и определения победителя: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 проводится в день и время, указанные в Информационном сообщении о проведении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, путем последовательного повышения участниками начальной цены продажи на величину, равную либо кратную величине «шага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«Шаг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 устанавливается продавцом в фиксированной сумме, составляющей не более 5 процентов начальной цены продажи, и не изменяется </w:t>
      </w:r>
      <w:r>
        <w:rPr>
          <w:sz w:val="28"/>
          <w:szCs w:val="28"/>
        </w:rPr>
        <w:br/>
        <w:t xml:space="preserve">в течение всего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Во время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оператор электронной площадки обеспечивает доступ участников к закрытой части электронной площадки </w:t>
      </w:r>
      <w:r>
        <w:rPr>
          <w:sz w:val="28"/>
          <w:szCs w:val="28"/>
        </w:rPr>
        <w:br/>
        <w:t xml:space="preserve">и возможность представления ими предложений о цене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 времени начала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оператором электронной площадки размещается: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открытой части электронной площадки - информация о начале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с указанием наименования имущества, начальной цены </w:t>
      </w:r>
      <w:r>
        <w:rPr>
          <w:sz w:val="28"/>
          <w:szCs w:val="28"/>
        </w:rPr>
        <w:br/>
        <w:t xml:space="preserve">и текущего «шага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закрытой части электронной площадки - помимо информации, указанной </w:t>
      </w:r>
      <w:r>
        <w:rPr>
          <w:sz w:val="28"/>
          <w:szCs w:val="28"/>
        </w:rPr>
        <w:br/>
        <w:t xml:space="preserve">в открытой части электронной площадки, также предложения о цене имущества </w:t>
      </w:r>
      <w:r>
        <w:rPr>
          <w:sz w:val="28"/>
          <w:szCs w:val="28"/>
        </w:rPr>
        <w:br/>
        <w:t xml:space="preserve">и время их поступления, величина повышения начальной цены («шаг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»), время, оставшееся до окончания приема предложений о цене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начала проведения процедуры </w:t>
      </w:r>
      <w:r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участникам предлагается заявить о приобретении имущества по начальной цене. </w:t>
      </w:r>
      <w:r>
        <w:rPr>
          <w:sz w:val="28"/>
          <w:szCs w:val="28"/>
        </w:rPr>
        <w:br/>
        <w:t xml:space="preserve">В случае если в течение указанного времени: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поступило предложение о начальной цене имущества, то время </w:t>
      </w:r>
      <w:r>
        <w:rPr>
          <w:sz w:val="28"/>
          <w:szCs w:val="28"/>
        </w:rPr>
        <w:br/>
        <w:t xml:space="preserve">для представления следующих предложений об увеличенной на «шаг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 с помощью программно-аппаратных средств электронной площадки завершается;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 поступило ни одного предложения о начальной цене имущества, то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 с помощью программно-аппаратных средств электронной площадки завершается. </w:t>
      </w:r>
      <w:r>
        <w:rPr>
          <w:sz w:val="28"/>
          <w:szCs w:val="28"/>
        </w:rPr>
        <w:br/>
        <w:t xml:space="preserve">В этом случае временем окончания представления предложений о цене имущества является время завершения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этом программными средствами электронной площадки обеспечивается: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исключение возможности подачи участником предложения о цене имущества, не соответствующего увеличению текущей цены на величину «шага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Победителем признается участник, предложивший наиболее высокую цену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Ход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путем оформления протокола об итогах</w:t>
      </w:r>
      <w:r>
        <w:rPr>
          <w:sz w:val="28"/>
          <w:szCs w:val="28"/>
        </w:rPr>
        <w:t xml:space="preserve"> конкурса.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Протокол об итогах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</w:t>
      </w:r>
      <w:r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цену имущества, фамилию, имя, отчество или наименование юридического лица </w:t>
      </w:r>
      <w:r>
        <w:rPr>
          <w:sz w:val="28"/>
          <w:szCs w:val="28"/>
        </w:rPr>
        <w:t xml:space="preserve">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</w:t>
      </w:r>
      <w:r>
        <w:rPr>
          <w:sz w:val="28"/>
          <w:szCs w:val="28"/>
        </w:rPr>
        <w:t xml:space="preserve"> конкурса.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Конкурс признается несостоявшимся в следующих случаях: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не подано ни одной заявки на участие либо ни один из претендентов не признан участником;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ни один из участников не сделал предложение о цене имущества;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принято решение о признании только одного претендента участником, если иное не установлено Федеральным законом о приватизации. </w:t>
      </w:r>
      <w:r>
        <w:rPr>
          <w:sz w:val="28"/>
          <w:szCs w:val="28"/>
        </w:rPr>
        <w:t xml:space="preserve">Решение о признании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несостоявшимся оформляется протоколом.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Уведомление о признании участника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победителем направляется победителю в день подведения итогов</w:t>
      </w:r>
      <w:r>
        <w:rPr>
          <w:sz w:val="28"/>
          <w:szCs w:val="28"/>
        </w:rPr>
        <w:t xml:space="preserve"> конкурса.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подписания протокола об итогах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победителю направляется уведомление о признании его победителем с приложением данного протокола, а также размещается в открытой части электронной площадки следующая информация: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наименование имущества и иные позволяющие его индивидуализировать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цена сделки;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фамилия, имя, отчество физического лица или наименование юридического лица – победителя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 случае, если на конкурс подана только одна заявка на приобретение объекта культурного наследия, находящегося в неудовлетворительном состоянии, договор купли-продажи может быть заключен с таким лицом.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. Срок заключения договора купли-продажи краевого имущества: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Заключение договора купли-продажи с победителем конкурса осуществляется не ранее чем через десять дней и не позднее двадцати дней со дня размещения </w:t>
      </w:r>
      <w:r>
        <w:rPr>
          <w:sz w:val="28"/>
          <w:szCs w:val="28"/>
        </w:rPr>
        <w:br/>
        <w:t xml:space="preserve">на официальном сайте в сети "Интернет" протокола об итогах конкурса.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Договор купли-продажи имущества заключается в форме электронного документа.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При уклонении или отказе победителя</w:t>
      </w:r>
      <w:r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заключения в установленный срок договора купли-продажи имущества задаток ему не возвращается, и он утрачивает право на заключение указанного договора.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7"/>
        <w:ind w:left="0" w:firstLine="709"/>
        <w:jc w:val="both"/>
        <w:spacing w:after="0"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</w:t>
      </w:r>
      <w:r>
        <w:rPr>
          <w:sz w:val="28"/>
          <w:szCs w:val="28"/>
        </w:rPr>
        <w:br/>
        <w:t xml:space="preserve">с законодательством Российской Федерации в договоре купли-продажи имущества, задаток ему не возвращается.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. Условия и срок платежа, реквизиты счета для оплаты приобретаемого краевого имущества по договору купли-продажи</w:t>
      </w:r>
      <w:r>
        <w:rPr>
          <w:sz w:val="28"/>
          <w:szCs w:val="28"/>
        </w:rPr>
        <w:t xml:space="preserve">: оплата приобретаемого краевого имущества производится путем перечисления денежных средств в валюте Российской Федерации в безналичном порядке единовременно по следующим реквизитам:</w:t>
      </w:r>
      <w:r>
        <w:rPr>
          <w:b/>
          <w:sz w:val="28"/>
          <w:szCs w:val="28"/>
        </w:rPr>
        <w:t xml:space="preserve"> на специальный лицевой счет Продавца</w:t>
      </w:r>
      <w:r>
        <w:rPr>
          <w:b/>
          <w:color w:val="000000"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Банк получателя: ОКЦ №3УГУ Банка России//УФК по Пермскому краю г. Пермь, БИК 015773997, Единый казначейский счет (ЕКС) № 40102810145370000048, Казначейский счет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03222643570000005600, Получатель: Минфин Пермского края (Министерство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по управлению имуществом и градостроительной деятельности Пермского края, л/с № 058120421), ИНН 5902293192, КПП 590401001, ОКТМО 57701000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br/>
        <w:t xml:space="preserve">в течение 10 (Десяти) дней со дня заключения договора купли-продажи. Задаток, перечисленный победителем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засчитывается в счет оплаты приобретаемого имущества (в сумму платежа по договору купли-продажи).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 случае уклонения или отказа покупателя от оплаты приобретаемого имущества покупателем уплачивается неустойка в соответствии с договором купли-продажи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Факт оплаты покупателем приобретаемого имущества подтверждается выпиской со счета, указанного в настоящем Информационном сообщении, подтверждающей поступление денежных средств в размере и сроки, предусмотренные договором купли-продажи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contextualSpacing w:val="0"/>
        <w:ind w:left="0" w:right="-2" w:firstLine="709"/>
        <w:jc w:val="both"/>
        <w:spacing w:line="280" w:lineRule="exact"/>
        <w:widowControl w:val="off"/>
        <w:tabs>
          <w:tab w:val="left" w:pos="142" w:leader="none"/>
          <w:tab w:val="left" w:pos="284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</w:t>
      </w:r>
      <w:r>
        <w:rPr>
          <w:b/>
          <w:bCs/>
          <w:sz w:val="28"/>
          <w:szCs w:val="28"/>
        </w:rPr>
        <w:t xml:space="preserve">3</w:t>
      </w:r>
      <w:r>
        <w:rPr>
          <w:b/>
          <w:bCs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Порядок ознакомления покупателей с иной информацией, условиями договора купли-продажи краевого имущества:</w:t>
      </w:r>
      <w:r>
        <w:rPr>
          <w:sz w:val="28"/>
          <w:szCs w:val="28"/>
        </w:rPr>
        <w:t xml:space="preserve"> с иной информацией, условиями договора купли-продажи имущества можно ознакомиться по адресу: Пермский край, г. Пермь, ул. Сибирская, д. 30а, 1 этаж, каб.112 (с понедельника по четверг </w:t>
      </w:r>
      <w:r>
        <w:rPr>
          <w:sz w:val="28"/>
          <w:szCs w:val="28"/>
        </w:rPr>
        <w:br/>
        <w:t xml:space="preserve">с 09.00 час. до 17.00 час., в пятницу с 09.00 час. до 16.00 час., перерыв с 13.00 час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  <w:t xml:space="preserve">до 13.48 час. (время местное</w:t>
      </w:r>
      <w:r>
        <w:rPr>
          <w:sz w:val="28"/>
          <w:szCs w:val="28"/>
        </w:rPr>
        <w:t xml:space="preserve">); тел. (342) 211 04 67 (доб. 1168), </w:t>
      </w:r>
      <w:r>
        <w:rPr>
          <w:bCs/>
          <w:sz w:val="28"/>
          <w:szCs w:val="28"/>
        </w:rPr>
        <w:t xml:space="preserve">адрес электронной почты: </w:t>
      </w:r>
      <w:r>
        <w:rPr>
          <w:bCs/>
          <w:sz w:val="28"/>
          <w:szCs w:val="28"/>
          <w:lang w:val="en-US"/>
        </w:rPr>
        <w:t xml:space="preserve">nazubareva</w:t>
      </w:r>
      <w:r>
        <w:rPr>
          <w:bCs/>
          <w:sz w:val="28"/>
          <w:szCs w:val="28"/>
        </w:rPr>
        <w:t xml:space="preserve">@</w:t>
      </w:r>
      <w:r>
        <w:rPr>
          <w:bCs/>
          <w:sz w:val="28"/>
          <w:szCs w:val="28"/>
          <w:lang w:val="en-US"/>
        </w:rPr>
        <w:t xml:space="preserve">auprim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permkrai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ru</w:t>
      </w:r>
      <w:r>
        <w:rPr>
          <w:bCs/>
          <w:sz w:val="28"/>
          <w:szCs w:val="28"/>
        </w:rPr>
        <w:t xml:space="preserve">, сайт: </w:t>
      </w:r>
      <w:r>
        <w:rPr>
          <w:sz w:val="28"/>
          <w:szCs w:val="28"/>
        </w:rPr>
        <w:t xml:space="preserve">http://migd.permkrai.ru/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течение указанного в настоящем Информационном сообщении срока подачи заявок (со дня приема заявок).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</w:t>
      </w:r>
      <w:r>
        <w:rPr>
          <w:sz w:val="28"/>
          <w:szCs w:val="28"/>
        </w:rPr>
        <w:br/>
        <w:t xml:space="preserve">5 рабочих дней до окончания подачи заявок.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</w:t>
      </w:r>
      <w:r>
        <w:rPr>
          <w:sz w:val="28"/>
          <w:szCs w:val="28"/>
        </w:rPr>
        <w:br/>
        <w:t xml:space="preserve">с указанием предмета запроса, но без указания лица, от которого поступил запрос.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Ограничения участия отдельных категорий физических лиц </w:t>
      </w:r>
      <w:r>
        <w:rPr>
          <w:b/>
          <w:bCs/>
          <w:sz w:val="28"/>
          <w:szCs w:val="28"/>
        </w:rPr>
        <w:br/>
        <w:t xml:space="preserve">и юридических лиц в приватизации краевого имущества: </w:t>
      </w:r>
      <w:r>
        <w:rPr>
          <w:bCs/>
          <w:sz w:val="28"/>
          <w:szCs w:val="28"/>
        </w:rPr>
        <w:t xml:space="preserve">покупателями краевого имущества могут быть любые физические и юридические лица, за исключением государственных и муниципальных унитарных предприятий, государственных </w:t>
      </w:r>
      <w:r>
        <w:rPr>
          <w:bCs/>
          <w:sz w:val="28"/>
          <w:szCs w:val="28"/>
        </w:rPr>
        <w:br/>
        <w:t xml:space="preserve">и муниципальных учреждений, а также юридических лиц, в уставном капитале которых доля Российской Федерации, субъектов Российской Федерации </w:t>
      </w:r>
      <w:r>
        <w:rPr>
          <w:bCs/>
          <w:sz w:val="28"/>
          <w:szCs w:val="28"/>
        </w:rPr>
        <w:br/>
        <w:t xml:space="preserve">и муниципальных образований превышает 25 процентов, кроме случаев, предусмотренных статьей 25 Федерального закона от 21.12.2001 № 178-ФЗ </w:t>
      </w:r>
      <w:r>
        <w:rPr>
          <w:bCs/>
          <w:sz w:val="28"/>
          <w:szCs w:val="28"/>
        </w:rPr>
        <w:br/>
        <w:t xml:space="preserve">«О приватизации государственного и муниципального имущества»; иные ограничения в соответствии с федеральным законодательством.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. </w:t>
      </w:r>
      <w:r>
        <w:rPr>
          <w:rFonts w:eastAsiaTheme="minorHAnsi"/>
          <w:b/>
          <w:sz w:val="28"/>
          <w:szCs w:val="28"/>
          <w:lang w:eastAsia="en-US"/>
        </w:rPr>
        <w:t xml:space="preserve">Сведения обо всех предыдущих торгах по продаже краевого имущества, объявленных в течение года, предшествующего его продаже, и об итогах торгов по продаже такого имущества: </w:t>
      </w: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sz w:val="28"/>
          <w:szCs w:val="28"/>
          <w:lang w:eastAsia="en-US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продажа краевого имущества в порядке приватизации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конкурсе</w:t>
      </w:r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br/>
      </w:r>
      <w:r>
        <w:rPr>
          <w:rFonts w:eastAsiaTheme="minorEastAsia"/>
          <w:sz w:val="28"/>
          <w:szCs w:val="28"/>
        </w:rPr>
        <w:t xml:space="preserve">в электронной форме</w:t>
      </w:r>
      <w:r>
        <w:rPr>
          <w:rFonts w:eastAsiaTheme="minorEastAsia"/>
          <w:sz w:val="28"/>
          <w:szCs w:val="28"/>
        </w:rPr>
        <w:t xml:space="preserve"> признана </w:t>
      </w:r>
      <w:r>
        <w:rPr>
          <w:rFonts w:eastAsia="Calibri"/>
          <w:sz w:val="28"/>
          <w:szCs w:val="28"/>
          <w:lang w:eastAsia="en-US"/>
        </w:rPr>
        <w:t xml:space="preserve">несостоявшейся: </w:t>
      </w:r>
      <w:r>
        <w:rPr>
          <w:sz w:val="28"/>
          <w:szCs w:val="28"/>
        </w:rPr>
        <w:t xml:space="preserve">не подано ни одной заявки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участие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(п. </w:t>
      </w:r>
      <w:r>
        <w:rPr>
          <w:rFonts w:eastAsiaTheme="minorHAnsi"/>
          <w:sz w:val="28"/>
          <w:szCs w:val="28"/>
          <w:lang w:eastAsia="en-US"/>
        </w:rPr>
        <w:t xml:space="preserve">82(1)</w:t>
      </w:r>
      <w:r>
        <w:rPr>
          <w:rFonts w:eastAsiaTheme="minorHAnsi"/>
          <w:sz w:val="28"/>
          <w:szCs w:val="28"/>
          <w:lang w:eastAsia="en-US"/>
        </w:rPr>
        <w:t xml:space="preserve"> постановления Правительства РФ от 27 августа 2012 г. № 860)</w:t>
      </w:r>
      <w:r>
        <w:rPr>
          <w:sz w:val="28"/>
          <w:szCs w:val="28"/>
        </w:rPr>
        <w:t xml:space="preserve"> (Протокол об итогах продажи государственного имущества Пермского края </w:t>
      </w:r>
      <w:r>
        <w:rPr>
          <w:sz w:val="28"/>
          <w:szCs w:val="28"/>
        </w:rPr>
        <w:br/>
        <w:t xml:space="preserve">в порядке приватизации на конкурсе в электронной форме от 16</w:t>
      </w:r>
      <w:r>
        <w:rPr>
          <w:sz w:val="28"/>
          <w:szCs w:val="28"/>
        </w:rPr>
        <w:t xml:space="preserve"> сентября 2026 г.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276" w:right="707" w:bottom="1135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">
    <w:panose1 w:val="02040803050406030204"/>
  </w:font>
  <w:font w:name="Calibri">
    <w:panose1 w:val="020F0502020204030204"/>
  </w:font>
  <w:font w:name="Courier New">
    <w:panose1 w:val="02070309020205020404"/>
  </w:font>
  <w:font w:name="Trebuchet MS">
    <w:panose1 w:val="020B0603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14"/>
      <w:numFmt w:val="decimal"/>
      <w:isLgl w:val="false"/>
      <w:suff w:val="tab"/>
      <w:lvlText w:val="%1"/>
      <w:lvlJc w:val="left"/>
      <w:pPr>
        <w:ind w:left="2412" w:hanging="1095"/>
        <w:tabs>
          <w:tab w:val="num" w:pos="24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97" w:hanging="360"/>
        <w:tabs>
          <w:tab w:val="num" w:pos="239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17" w:hanging="180"/>
        <w:tabs>
          <w:tab w:val="num" w:pos="311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37" w:hanging="360"/>
        <w:tabs>
          <w:tab w:val="num" w:pos="383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57" w:hanging="360"/>
        <w:tabs>
          <w:tab w:val="num" w:pos="455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77" w:hanging="180"/>
        <w:tabs>
          <w:tab w:val="num" w:pos="527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97" w:hanging="360"/>
        <w:tabs>
          <w:tab w:val="num" w:pos="599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17" w:hanging="360"/>
        <w:tabs>
          <w:tab w:val="num" w:pos="671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37" w:hanging="180"/>
        <w:tabs>
          <w:tab w:val="num" w:pos="7437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cs="Times New Roman"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eastAsia="Times New Roman"/>
        <w:b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2"/>
  </w:num>
  <w:num w:numId="5">
    <w:abstractNumId w:val="10"/>
  </w:num>
  <w:num w:numId="6">
    <w:abstractNumId w:val="5"/>
  </w:num>
  <w:num w:numId="7">
    <w:abstractNumId w:val="18"/>
  </w:num>
  <w:num w:numId="8">
    <w:abstractNumId w:val="21"/>
  </w:num>
  <w:num w:numId="9">
    <w:abstractNumId w:val="17"/>
  </w:num>
  <w:num w:numId="10">
    <w:abstractNumId w:val="22"/>
  </w:num>
  <w:num w:numId="11">
    <w:abstractNumId w:val="4"/>
  </w:num>
  <w:num w:numId="12">
    <w:abstractNumId w:val="2"/>
  </w:num>
  <w:num w:numId="13">
    <w:abstractNumId w:val="7"/>
  </w:num>
  <w:num w:numId="1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6"/>
  </w:num>
  <w:num w:numId="17">
    <w:abstractNumId w:val="8"/>
  </w:num>
  <w:num w:numId="18">
    <w:abstractNumId w:val="19"/>
  </w:num>
  <w:num w:numId="19">
    <w:abstractNumId w:val="16"/>
  </w:num>
  <w:num w:numId="20">
    <w:abstractNumId w:val="1"/>
  </w:num>
  <w:num w:numId="21">
    <w:abstractNumId w:val="13"/>
  </w:num>
  <w:num w:numId="22">
    <w:abstractNumId w:val="20"/>
  </w:num>
  <w:num w:numId="23">
    <w:abstractNumId w:val="15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2">
    <w:name w:val="Heading 4 Char"/>
    <w:basedOn w:val="722"/>
    <w:link w:val="71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3">
    <w:name w:val="Heading 5 Char"/>
    <w:basedOn w:val="722"/>
    <w:link w:val="71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4">
    <w:name w:val="Heading 7 Char"/>
    <w:basedOn w:val="722"/>
    <w:link w:val="71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5">
    <w:name w:val="Heading 8 Char"/>
    <w:basedOn w:val="722"/>
    <w:link w:val="72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>
    <w:name w:val="Heading 9 Char"/>
    <w:basedOn w:val="722"/>
    <w:link w:val="72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7">
    <w:name w:val="Subtitle Char"/>
    <w:basedOn w:val="722"/>
    <w:link w:val="735"/>
    <w:uiPriority w:val="11"/>
    <w:rPr>
      <w:sz w:val="24"/>
      <w:szCs w:val="24"/>
    </w:rPr>
  </w:style>
  <w:style w:type="character" w:styleId="708">
    <w:name w:val="Quote Char"/>
    <w:link w:val="737"/>
    <w:uiPriority w:val="29"/>
    <w:rPr>
      <w:i/>
    </w:rPr>
  </w:style>
  <w:style w:type="character" w:styleId="709">
    <w:name w:val="Intense Quote Char"/>
    <w:link w:val="739"/>
    <w:uiPriority w:val="30"/>
    <w:rPr>
      <w:i/>
    </w:rPr>
  </w:style>
  <w:style w:type="character" w:styleId="710">
    <w:name w:val="Caption Char"/>
    <w:basedOn w:val="722"/>
    <w:link w:val="743"/>
    <w:uiPriority w:val="35"/>
    <w:rPr>
      <w:b/>
      <w:bCs/>
      <w:color w:val="4f81bd" w:themeColor="accent1"/>
      <w:sz w:val="18"/>
      <w:szCs w:val="18"/>
    </w:rPr>
  </w:style>
  <w:style w:type="character" w:styleId="711">
    <w:name w:val="Endnote Text Char"/>
    <w:link w:val="871"/>
    <w:uiPriority w:val="99"/>
    <w:rPr>
      <w:sz w:val="20"/>
    </w:rPr>
  </w:style>
  <w:style w:type="paragraph" w:styleId="71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13">
    <w:name w:val="Heading 1"/>
    <w:basedOn w:val="712"/>
    <w:next w:val="712"/>
    <w:link w:val="904"/>
    <w:qFormat/>
    <w:pPr>
      <w:ind w:left="1080" w:right="4855" w:hanging="540"/>
      <w:keepNext/>
      <w:tabs>
        <w:tab w:val="left" w:pos="4500" w:leader="none"/>
      </w:tabs>
      <w:outlineLvl w:val="0"/>
    </w:pPr>
    <w:rPr>
      <w:b/>
      <w:bCs/>
      <w:sz w:val="18"/>
    </w:rPr>
  </w:style>
  <w:style w:type="paragraph" w:styleId="714">
    <w:name w:val="Heading 2"/>
    <w:basedOn w:val="712"/>
    <w:next w:val="712"/>
    <w:link w:val="905"/>
    <w:qFormat/>
    <w:pPr>
      <w:ind w:left="1080" w:right="4855" w:hanging="540"/>
      <w:keepNext/>
      <w:tabs>
        <w:tab w:val="left" w:pos="4500" w:leader="none"/>
      </w:tabs>
      <w:outlineLvl w:val="1"/>
    </w:pPr>
    <w:rPr>
      <w:b/>
      <w:bCs/>
      <w:sz w:val="16"/>
    </w:rPr>
  </w:style>
  <w:style w:type="paragraph" w:styleId="715">
    <w:name w:val="Heading 3"/>
    <w:basedOn w:val="712"/>
    <w:next w:val="712"/>
    <w:link w:val="906"/>
    <w:qFormat/>
    <w:pPr>
      <w:ind w:left="1080" w:right="4855" w:hanging="540"/>
      <w:keepNext/>
      <w:tabs>
        <w:tab w:val="left" w:pos="4500" w:leader="none"/>
      </w:tabs>
      <w:outlineLvl w:val="2"/>
    </w:pPr>
    <w:rPr>
      <w:b/>
      <w:bCs/>
      <w:sz w:val="20"/>
    </w:rPr>
  </w:style>
  <w:style w:type="paragraph" w:styleId="716">
    <w:name w:val="Heading 4"/>
    <w:basedOn w:val="712"/>
    <w:next w:val="712"/>
    <w:link w:val="7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712"/>
    <w:next w:val="712"/>
    <w:link w:val="72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8">
    <w:name w:val="Heading 6"/>
    <w:basedOn w:val="712"/>
    <w:next w:val="712"/>
    <w:link w:val="907"/>
    <w:qFormat/>
    <w:pPr>
      <w:ind w:left="72" w:right="72"/>
      <w:jc w:val="center"/>
      <w:keepNext/>
      <w:tabs>
        <w:tab w:val="left" w:pos="72" w:leader="none"/>
        <w:tab w:val="left" w:pos="6192" w:leader="none"/>
      </w:tabs>
      <w:outlineLvl w:val="5"/>
    </w:pPr>
    <w:rPr>
      <w:b/>
      <w:bCs/>
      <w:sz w:val="20"/>
    </w:rPr>
  </w:style>
  <w:style w:type="paragraph" w:styleId="719">
    <w:name w:val="Heading 7"/>
    <w:basedOn w:val="712"/>
    <w:next w:val="712"/>
    <w:link w:val="73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712"/>
    <w:next w:val="712"/>
    <w:link w:val="73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712"/>
    <w:next w:val="712"/>
    <w:link w:val="73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Heading 1 Char"/>
    <w:basedOn w:val="722"/>
    <w:uiPriority w:val="9"/>
    <w:rPr>
      <w:rFonts w:ascii="Arial" w:hAnsi="Arial" w:eastAsia="Arial" w:cs="Arial"/>
      <w:sz w:val="40"/>
      <w:szCs w:val="40"/>
    </w:rPr>
  </w:style>
  <w:style w:type="character" w:styleId="726" w:customStyle="1">
    <w:name w:val="Heading 2 Char"/>
    <w:basedOn w:val="722"/>
    <w:uiPriority w:val="9"/>
    <w:rPr>
      <w:rFonts w:ascii="Arial" w:hAnsi="Arial" w:eastAsia="Arial" w:cs="Arial"/>
      <w:sz w:val="34"/>
    </w:rPr>
  </w:style>
  <w:style w:type="character" w:styleId="727" w:customStyle="1">
    <w:name w:val="Heading 3 Char"/>
    <w:basedOn w:val="722"/>
    <w:uiPriority w:val="9"/>
    <w:rPr>
      <w:rFonts w:ascii="Arial" w:hAnsi="Arial" w:eastAsia="Arial" w:cs="Arial"/>
      <w:sz w:val="30"/>
      <w:szCs w:val="30"/>
    </w:rPr>
  </w:style>
  <w:style w:type="character" w:styleId="728" w:customStyle="1">
    <w:name w:val="Заголовок 4 Знак"/>
    <w:basedOn w:val="722"/>
    <w:link w:val="716"/>
    <w:uiPriority w:val="9"/>
    <w:rPr>
      <w:rFonts w:ascii="Arial" w:hAnsi="Arial" w:eastAsia="Arial" w:cs="Arial"/>
      <w:b/>
      <w:bCs/>
      <w:sz w:val="26"/>
      <w:szCs w:val="26"/>
    </w:rPr>
  </w:style>
  <w:style w:type="character" w:styleId="729" w:customStyle="1">
    <w:name w:val="Заголовок 5 Знак"/>
    <w:basedOn w:val="722"/>
    <w:link w:val="717"/>
    <w:uiPriority w:val="9"/>
    <w:rPr>
      <w:rFonts w:ascii="Arial" w:hAnsi="Arial" w:eastAsia="Arial" w:cs="Arial"/>
      <w:b/>
      <w:bCs/>
      <w:sz w:val="24"/>
      <w:szCs w:val="24"/>
    </w:rPr>
  </w:style>
  <w:style w:type="character" w:styleId="730" w:customStyle="1">
    <w:name w:val="Heading 6 Char"/>
    <w:basedOn w:val="722"/>
    <w:uiPriority w:val="9"/>
    <w:rPr>
      <w:rFonts w:ascii="Arial" w:hAnsi="Arial" w:eastAsia="Arial" w:cs="Arial"/>
      <w:b/>
      <w:bCs/>
      <w:sz w:val="22"/>
      <w:szCs w:val="22"/>
    </w:rPr>
  </w:style>
  <w:style w:type="character" w:styleId="731" w:customStyle="1">
    <w:name w:val="Заголовок 7 Знак"/>
    <w:basedOn w:val="722"/>
    <w:link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2" w:customStyle="1">
    <w:name w:val="Заголовок 8 Знак"/>
    <w:basedOn w:val="722"/>
    <w:link w:val="720"/>
    <w:uiPriority w:val="9"/>
    <w:rPr>
      <w:rFonts w:ascii="Arial" w:hAnsi="Arial" w:eastAsia="Arial" w:cs="Arial"/>
      <w:i/>
      <w:iCs/>
      <w:sz w:val="22"/>
      <w:szCs w:val="22"/>
    </w:rPr>
  </w:style>
  <w:style w:type="character" w:styleId="733" w:customStyle="1">
    <w:name w:val="Заголовок 9 Знак"/>
    <w:basedOn w:val="722"/>
    <w:link w:val="721"/>
    <w:uiPriority w:val="9"/>
    <w:rPr>
      <w:rFonts w:ascii="Arial" w:hAnsi="Arial" w:eastAsia="Arial" w:cs="Arial"/>
      <w:i/>
      <w:iCs/>
      <w:sz w:val="21"/>
      <w:szCs w:val="21"/>
    </w:rPr>
  </w:style>
  <w:style w:type="character" w:styleId="734" w:customStyle="1">
    <w:name w:val="Title Char"/>
    <w:basedOn w:val="722"/>
    <w:uiPriority w:val="10"/>
    <w:rPr>
      <w:sz w:val="48"/>
      <w:szCs w:val="48"/>
    </w:rPr>
  </w:style>
  <w:style w:type="paragraph" w:styleId="735">
    <w:name w:val="Subtitle"/>
    <w:basedOn w:val="712"/>
    <w:next w:val="712"/>
    <w:link w:val="736"/>
    <w:uiPriority w:val="11"/>
    <w:qFormat/>
    <w:pPr>
      <w:spacing w:before="200" w:after="200"/>
    </w:pPr>
  </w:style>
  <w:style w:type="character" w:styleId="736" w:customStyle="1">
    <w:name w:val="Подзаголовок Знак"/>
    <w:basedOn w:val="722"/>
    <w:link w:val="735"/>
    <w:uiPriority w:val="11"/>
    <w:rPr>
      <w:sz w:val="24"/>
      <w:szCs w:val="24"/>
    </w:rPr>
  </w:style>
  <w:style w:type="paragraph" w:styleId="737">
    <w:name w:val="Quote"/>
    <w:basedOn w:val="712"/>
    <w:next w:val="712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712"/>
    <w:next w:val="712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22"/>
    <w:uiPriority w:val="99"/>
  </w:style>
  <w:style w:type="character" w:styleId="742" w:customStyle="1">
    <w:name w:val="Footer Char"/>
    <w:basedOn w:val="722"/>
    <w:uiPriority w:val="99"/>
  </w:style>
  <w:style w:type="paragraph" w:styleId="743">
    <w:name w:val="Caption"/>
    <w:basedOn w:val="712"/>
    <w:next w:val="712"/>
    <w:link w:val="7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4" w:customStyle="1">
    <w:name w:val="Название объекта Знак"/>
    <w:basedOn w:val="722"/>
    <w:link w:val="743"/>
    <w:uiPriority w:val="35"/>
    <w:rPr>
      <w:b/>
      <w:bCs/>
      <w:color w:val="4f81bd" w:themeColor="accent1"/>
      <w:sz w:val="18"/>
      <w:szCs w:val="18"/>
    </w:rPr>
  </w:style>
  <w:style w:type="table" w:styleId="745" w:customStyle="1">
    <w:name w:val="Table Grid Light"/>
    <w:basedOn w:val="72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Plain Table 1"/>
    <w:basedOn w:val="72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basedOn w:val="7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4" w:customStyle="1">
    <w:name w:val="Grid Table 4 - Accent 2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5" w:customStyle="1">
    <w:name w:val="Grid Table 4 - Accent 3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6" w:customStyle="1">
    <w:name w:val="Grid Table 4 - Accent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7" w:customStyle="1">
    <w:name w:val="Grid Table 4 - Accent 5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8" w:customStyle="1">
    <w:name w:val="Grid Table 4 - Accent 6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9">
    <w:name w:val="Grid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6">
    <w:name w:val="Grid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8" w:customStyle="1">
    <w:name w:val="Grid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9" w:customStyle="1">
    <w:name w:val="Grid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0" w:customStyle="1">
    <w:name w:val="Grid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1" w:customStyle="1">
    <w:name w:val="Grid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2" w:customStyle="1">
    <w:name w:val="Grid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3">
    <w:name w:val="Grid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>
    <w:name w:val="List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7" w:customStyle="1">
    <w:name w:val="List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8" w:customStyle="1">
    <w:name w:val="List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9" w:customStyle="1">
    <w:name w:val="List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0" w:customStyle="1">
    <w:name w:val="List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1" w:customStyle="1">
    <w:name w:val="List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2">
    <w:name w:val="List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 &amp; 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Bordered &amp; 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Bordered &amp; 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Bordered &amp; 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Bordered &amp; 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Bordered &amp; 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5" w:customStyle="1">
    <w:name w:val="Bordered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6" w:customStyle="1">
    <w:name w:val="Bordered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7" w:customStyle="1">
    <w:name w:val="Bordered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8" w:customStyle="1">
    <w:name w:val="Bordered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9" w:customStyle="1">
    <w:name w:val="Bordered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0" w:customStyle="1">
    <w:name w:val="Footnote Text Char"/>
    <w:uiPriority w:val="99"/>
    <w:rPr>
      <w:sz w:val="18"/>
    </w:rPr>
  </w:style>
  <w:style w:type="paragraph" w:styleId="871">
    <w:name w:val="endnote text"/>
    <w:basedOn w:val="712"/>
    <w:link w:val="872"/>
    <w:uiPriority w:val="99"/>
    <w:semiHidden/>
    <w:unhideWhenUsed/>
    <w:rPr>
      <w:sz w:val="20"/>
    </w:rPr>
  </w:style>
  <w:style w:type="character" w:styleId="872" w:customStyle="1">
    <w:name w:val="Текст концевой сноски Знак"/>
    <w:link w:val="871"/>
    <w:uiPriority w:val="99"/>
    <w:rPr>
      <w:sz w:val="20"/>
    </w:rPr>
  </w:style>
  <w:style w:type="character" w:styleId="873">
    <w:name w:val="endnote reference"/>
    <w:basedOn w:val="722"/>
    <w:uiPriority w:val="99"/>
    <w:semiHidden/>
    <w:unhideWhenUsed/>
    <w:rPr>
      <w:vertAlign w:val="superscript"/>
    </w:rPr>
  </w:style>
  <w:style w:type="paragraph" w:styleId="874">
    <w:name w:val="toc 1"/>
    <w:basedOn w:val="712"/>
    <w:next w:val="712"/>
    <w:uiPriority w:val="39"/>
    <w:unhideWhenUsed/>
    <w:pPr>
      <w:spacing w:after="57"/>
    </w:pPr>
  </w:style>
  <w:style w:type="paragraph" w:styleId="875">
    <w:name w:val="toc 2"/>
    <w:basedOn w:val="712"/>
    <w:next w:val="712"/>
    <w:uiPriority w:val="39"/>
    <w:unhideWhenUsed/>
    <w:pPr>
      <w:ind w:left="283"/>
      <w:spacing w:after="57"/>
    </w:pPr>
  </w:style>
  <w:style w:type="paragraph" w:styleId="876">
    <w:name w:val="toc 3"/>
    <w:basedOn w:val="712"/>
    <w:next w:val="712"/>
    <w:uiPriority w:val="39"/>
    <w:unhideWhenUsed/>
    <w:pPr>
      <w:ind w:left="567"/>
      <w:spacing w:after="57"/>
    </w:pPr>
  </w:style>
  <w:style w:type="paragraph" w:styleId="877">
    <w:name w:val="toc 4"/>
    <w:basedOn w:val="712"/>
    <w:next w:val="712"/>
    <w:uiPriority w:val="39"/>
    <w:unhideWhenUsed/>
    <w:pPr>
      <w:ind w:left="850"/>
      <w:spacing w:after="57"/>
    </w:pPr>
  </w:style>
  <w:style w:type="paragraph" w:styleId="878">
    <w:name w:val="toc 5"/>
    <w:basedOn w:val="712"/>
    <w:next w:val="712"/>
    <w:uiPriority w:val="39"/>
    <w:unhideWhenUsed/>
    <w:pPr>
      <w:ind w:left="1134"/>
      <w:spacing w:after="57"/>
    </w:pPr>
  </w:style>
  <w:style w:type="paragraph" w:styleId="879">
    <w:name w:val="toc 6"/>
    <w:basedOn w:val="712"/>
    <w:next w:val="712"/>
    <w:uiPriority w:val="39"/>
    <w:unhideWhenUsed/>
    <w:pPr>
      <w:ind w:left="1417"/>
      <w:spacing w:after="57"/>
    </w:pPr>
  </w:style>
  <w:style w:type="paragraph" w:styleId="880">
    <w:name w:val="toc 7"/>
    <w:basedOn w:val="712"/>
    <w:next w:val="712"/>
    <w:uiPriority w:val="39"/>
    <w:unhideWhenUsed/>
    <w:pPr>
      <w:ind w:left="1701"/>
      <w:spacing w:after="57"/>
    </w:pPr>
  </w:style>
  <w:style w:type="paragraph" w:styleId="881">
    <w:name w:val="toc 8"/>
    <w:basedOn w:val="712"/>
    <w:next w:val="712"/>
    <w:uiPriority w:val="39"/>
    <w:unhideWhenUsed/>
    <w:pPr>
      <w:ind w:left="1984"/>
      <w:spacing w:after="57"/>
    </w:pPr>
  </w:style>
  <w:style w:type="paragraph" w:styleId="882">
    <w:name w:val="toc 9"/>
    <w:basedOn w:val="712"/>
    <w:next w:val="712"/>
    <w:uiPriority w:val="39"/>
    <w:unhideWhenUsed/>
    <w:pPr>
      <w:ind w:left="2268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712"/>
    <w:next w:val="712"/>
    <w:uiPriority w:val="99"/>
    <w:unhideWhenUsed/>
  </w:style>
  <w:style w:type="paragraph" w:styleId="885">
    <w:name w:val="List Paragraph"/>
    <w:basedOn w:val="712"/>
    <w:uiPriority w:val="34"/>
    <w:qFormat/>
    <w:pPr>
      <w:contextualSpacing/>
      <w:ind w:left="720"/>
    </w:pPr>
  </w:style>
  <w:style w:type="paragraph" w:styleId="886" w:customStyle="1">
    <w:name w:val="Стиль ис"/>
    <w:basedOn w:val="712"/>
    <w:link w:val="888"/>
    <w:qFormat/>
    <w:pPr>
      <w:ind w:firstLine="567"/>
      <w:jc w:val="both"/>
      <w:tabs>
        <w:tab w:val="left" w:pos="851" w:leader="none"/>
      </w:tabs>
    </w:pPr>
  </w:style>
  <w:style w:type="paragraph" w:styleId="887" w:customStyle="1">
    <w:name w:val="Стиль ИСС"/>
    <w:basedOn w:val="712"/>
    <w:link w:val="889"/>
    <w:qFormat/>
    <w:pPr>
      <w:ind w:firstLine="567"/>
      <w:jc w:val="both"/>
      <w:tabs>
        <w:tab w:val="left" w:pos="851" w:leader="none"/>
      </w:tabs>
    </w:pPr>
  </w:style>
  <w:style w:type="character" w:styleId="888" w:customStyle="1">
    <w:name w:val="Стиль ис Знак"/>
    <w:link w:val="88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9" w:customStyle="1">
    <w:name w:val="Стиль ИСС Знак"/>
    <w:link w:val="88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0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paragraph" w:styleId="892">
    <w:name w:val="Balloon Text"/>
    <w:basedOn w:val="712"/>
    <w:link w:val="893"/>
    <w:unhideWhenUsed/>
    <w:rPr>
      <w:rFonts w:ascii="Tahoma" w:hAnsi="Tahoma" w:cs="Tahoma"/>
      <w:sz w:val="16"/>
      <w:szCs w:val="16"/>
    </w:rPr>
  </w:style>
  <w:style w:type="character" w:styleId="893" w:customStyle="1">
    <w:name w:val="Текст выноски Знак"/>
    <w:basedOn w:val="722"/>
    <w:link w:val="892"/>
    <w:rPr>
      <w:rFonts w:ascii="Tahoma" w:hAnsi="Tahoma" w:eastAsia="Times New Roman" w:cs="Tahoma"/>
      <w:sz w:val="16"/>
      <w:szCs w:val="16"/>
      <w:lang w:eastAsia="ru-RU"/>
    </w:rPr>
  </w:style>
  <w:style w:type="paragraph" w:styleId="894" w:customStyle="1">
    <w:name w:val="Исполнитель"/>
    <w:basedOn w:val="895"/>
    <w:pPr>
      <w:ind w:firstLine="709"/>
      <w:jc w:val="both"/>
      <w:spacing w:after="0" w:line="240" w:lineRule="exact"/>
    </w:pPr>
    <w:rPr>
      <w:sz w:val="28"/>
      <w:szCs w:val="20"/>
    </w:rPr>
  </w:style>
  <w:style w:type="paragraph" w:styleId="895">
    <w:name w:val="Body Text"/>
    <w:basedOn w:val="712"/>
    <w:link w:val="896"/>
    <w:unhideWhenUsed/>
    <w:pPr>
      <w:spacing w:after="120"/>
    </w:pPr>
  </w:style>
  <w:style w:type="character" w:styleId="896" w:customStyle="1">
    <w:name w:val="Основной текст Знак"/>
    <w:basedOn w:val="722"/>
    <w:link w:val="89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7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8">
    <w:name w:val="footnote text"/>
    <w:basedOn w:val="712"/>
    <w:link w:val="899"/>
    <w:semiHidden/>
    <w:unhideWhenUsed/>
    <w:rPr>
      <w:sz w:val="20"/>
      <w:szCs w:val="20"/>
    </w:rPr>
  </w:style>
  <w:style w:type="character" w:styleId="899" w:customStyle="1">
    <w:name w:val="Текст сноски Знак"/>
    <w:basedOn w:val="722"/>
    <w:link w:val="898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00">
    <w:name w:val="footnote reference"/>
    <w:basedOn w:val="722"/>
    <w:uiPriority w:val="99"/>
    <w:semiHidden/>
    <w:unhideWhenUsed/>
    <w:rPr>
      <w:vertAlign w:val="superscript"/>
    </w:rPr>
  </w:style>
  <w:style w:type="paragraph" w:styleId="901" w:customStyle="1">
    <w:name w:val="ConsPlusNormal"/>
    <w:qFormat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902" w:customStyle="1">
    <w:name w:val="СтильИС"/>
    <w:basedOn w:val="712"/>
    <w:link w:val="903"/>
    <w:qFormat/>
    <w:pPr>
      <w:ind w:right="21"/>
      <w:jc w:val="center"/>
    </w:pPr>
    <w:rPr>
      <w:sz w:val="22"/>
      <w:szCs w:val="22"/>
    </w:rPr>
  </w:style>
  <w:style w:type="character" w:styleId="903" w:customStyle="1">
    <w:name w:val="СтильИС Знак"/>
    <w:link w:val="902"/>
    <w:rPr>
      <w:rFonts w:ascii="Times New Roman" w:hAnsi="Times New Roman" w:eastAsia="Times New Roman" w:cs="Times New Roman"/>
      <w:lang w:eastAsia="ru-RU"/>
    </w:rPr>
  </w:style>
  <w:style w:type="character" w:styleId="904" w:customStyle="1">
    <w:name w:val="Заголовок 1 Знак"/>
    <w:basedOn w:val="722"/>
    <w:link w:val="713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905" w:customStyle="1">
    <w:name w:val="Заголовок 2 Знак"/>
    <w:basedOn w:val="722"/>
    <w:link w:val="714"/>
    <w:rPr>
      <w:rFonts w:ascii="Times New Roman" w:hAnsi="Times New Roman" w:eastAsia="Times New Roman" w:cs="Times New Roman"/>
      <w:b/>
      <w:bCs/>
      <w:sz w:val="16"/>
      <w:szCs w:val="24"/>
      <w:lang w:eastAsia="ru-RU"/>
    </w:rPr>
  </w:style>
  <w:style w:type="character" w:styleId="906" w:customStyle="1">
    <w:name w:val="Заголовок 3 Знак"/>
    <w:basedOn w:val="722"/>
    <w:link w:val="715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7" w:customStyle="1">
    <w:name w:val="Заголовок 6 Знак"/>
    <w:basedOn w:val="722"/>
    <w:link w:val="718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8" w:customStyle="1">
    <w:name w:val="defaultlabelstyle3"/>
    <w:rPr>
      <w:rFonts w:hint="default" w:ascii="Trebuchet MS" w:hAnsi="Trebuchet MS"/>
      <w:color w:val="333333"/>
    </w:rPr>
  </w:style>
  <w:style w:type="paragraph" w:styleId="909" w:customStyle="1">
    <w:name w:val="Стиль ИС"/>
    <w:basedOn w:val="712"/>
    <w:link w:val="910"/>
    <w:qFormat/>
    <w:pPr>
      <w:ind w:right="21"/>
      <w:jc w:val="both"/>
    </w:pPr>
    <w:rPr>
      <w:sz w:val="22"/>
      <w:szCs w:val="22"/>
    </w:rPr>
  </w:style>
  <w:style w:type="character" w:styleId="910" w:customStyle="1">
    <w:name w:val="Стиль ИС Знак"/>
    <w:link w:val="909"/>
    <w:rPr>
      <w:rFonts w:ascii="Times New Roman" w:hAnsi="Times New Roman" w:eastAsia="Times New Roman" w:cs="Times New Roman"/>
      <w:lang w:eastAsia="ru-RU"/>
    </w:rPr>
  </w:style>
  <w:style w:type="paragraph" w:styleId="911" w:customStyle="1">
    <w:name w:val="ис"/>
    <w:basedOn w:val="712"/>
    <w:link w:val="912"/>
    <w:qFormat/>
    <w:pPr>
      <w:ind w:left="142" w:right="-2"/>
      <w:jc w:val="center"/>
    </w:pPr>
    <w:rPr>
      <w:b/>
    </w:rPr>
  </w:style>
  <w:style w:type="character" w:styleId="912" w:customStyle="1">
    <w:name w:val="ис Знак"/>
    <w:link w:val="911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913">
    <w:name w:val="List Bullet"/>
    <w:basedOn w:val="712"/>
    <w:unhideWhenUsed/>
    <w:pPr>
      <w:jc w:val="both"/>
    </w:pPr>
    <w:rPr>
      <w:bCs/>
      <w:sz w:val="28"/>
      <w:szCs w:val="28"/>
    </w:rPr>
  </w:style>
  <w:style w:type="numbering" w:styleId="914" w:customStyle="1">
    <w:name w:val="Нет списка1"/>
    <w:next w:val="724"/>
    <w:semiHidden/>
  </w:style>
  <w:style w:type="paragraph" w:styleId="915" w:customStyle="1">
    <w:name w:val="Заголовок к тексту"/>
    <w:basedOn w:val="712"/>
    <w:next w:val="895"/>
    <w:pPr>
      <w:spacing w:after="480" w:line="240" w:lineRule="exact"/>
    </w:pPr>
    <w:rPr>
      <w:b/>
      <w:sz w:val="28"/>
      <w:szCs w:val="20"/>
    </w:rPr>
  </w:style>
  <w:style w:type="paragraph" w:styleId="916" w:customStyle="1">
    <w:name w:val="регистрационные поля"/>
    <w:basedOn w:val="712"/>
    <w:pPr>
      <w:jc w:val="center"/>
      <w:spacing w:line="240" w:lineRule="exact"/>
    </w:pPr>
    <w:rPr>
      <w:sz w:val="28"/>
      <w:szCs w:val="20"/>
      <w:lang w:val="en-US"/>
    </w:rPr>
  </w:style>
  <w:style w:type="paragraph" w:styleId="917">
    <w:name w:val="Footer"/>
    <w:basedOn w:val="712"/>
    <w:link w:val="918"/>
    <w:pPr>
      <w:tabs>
        <w:tab w:val="center" w:pos="4677" w:leader="none"/>
        <w:tab w:val="right" w:pos="9355" w:leader="none"/>
      </w:tabs>
    </w:pPr>
    <w:rPr>
      <w:sz w:val="28"/>
      <w:szCs w:val="20"/>
    </w:rPr>
  </w:style>
  <w:style w:type="character" w:styleId="918" w:customStyle="1">
    <w:name w:val="Нижний колонтитул Знак"/>
    <w:basedOn w:val="722"/>
    <w:link w:val="917"/>
    <w:rPr>
      <w:rFonts w:ascii="Times New Roman" w:hAnsi="Times New Roman" w:eastAsia="Times New Roman" w:cs="Times New Roman"/>
      <w:sz w:val="28"/>
      <w:szCs w:val="20"/>
    </w:rPr>
  </w:style>
  <w:style w:type="paragraph" w:styleId="919" w:customStyle="1">
    <w:name w:val="Подпись на  бланке должностного лица"/>
    <w:basedOn w:val="712"/>
    <w:next w:val="895"/>
    <w:pPr>
      <w:ind w:left="7088"/>
      <w:spacing w:before="480" w:line="240" w:lineRule="exact"/>
    </w:pPr>
    <w:rPr>
      <w:sz w:val="28"/>
      <w:szCs w:val="20"/>
    </w:rPr>
  </w:style>
  <w:style w:type="paragraph" w:styleId="920">
    <w:name w:val="Signature"/>
    <w:basedOn w:val="712"/>
    <w:next w:val="895"/>
    <w:link w:val="921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  <w:szCs w:val="20"/>
    </w:rPr>
  </w:style>
  <w:style w:type="character" w:styleId="921" w:customStyle="1">
    <w:name w:val="Подпись Знак"/>
    <w:basedOn w:val="722"/>
    <w:link w:val="920"/>
    <w:rPr>
      <w:rFonts w:ascii="Times New Roman" w:hAnsi="Times New Roman" w:eastAsia="Times New Roman" w:cs="Times New Roman"/>
      <w:sz w:val="28"/>
      <w:szCs w:val="20"/>
    </w:rPr>
  </w:style>
  <w:style w:type="paragraph" w:styleId="922" w:customStyle="1">
    <w:name w:val="Приложение"/>
    <w:basedOn w:val="895"/>
    <w:pPr>
      <w:ind w:left="1985" w:hanging="1985"/>
      <w:jc w:val="both"/>
      <w:spacing w:before="240" w:after="0" w:line="240" w:lineRule="exact"/>
      <w:tabs>
        <w:tab w:val="left" w:pos="1673" w:leader="none"/>
      </w:tabs>
    </w:pPr>
    <w:rPr>
      <w:sz w:val="28"/>
      <w:szCs w:val="20"/>
    </w:rPr>
  </w:style>
  <w:style w:type="paragraph" w:styleId="923">
    <w:name w:val="Block Text"/>
    <w:basedOn w:val="712"/>
    <w:pPr>
      <w:ind w:left="72" w:right="4855"/>
      <w:jc w:val="center"/>
      <w:tabs>
        <w:tab w:val="left" w:pos="72" w:leader="none"/>
        <w:tab w:val="left" w:pos="3960" w:leader="none"/>
        <w:tab w:val="left" w:pos="6192" w:leader="none"/>
      </w:tabs>
    </w:pPr>
    <w:rPr>
      <w:b/>
      <w:bCs/>
      <w:sz w:val="20"/>
    </w:rPr>
  </w:style>
  <w:style w:type="numbering" w:styleId="924" w:customStyle="1">
    <w:name w:val="Нет списка2"/>
    <w:next w:val="724"/>
    <w:semiHidden/>
  </w:style>
  <w:style w:type="paragraph" w:styleId="925">
    <w:name w:val="Header"/>
    <w:basedOn w:val="712"/>
    <w:link w:val="926"/>
    <w:uiPriority w:val="99"/>
    <w:unhideWhenUsed/>
    <w:pPr>
      <w:spacing w:after="200" w:line="276" w:lineRule="auto"/>
      <w:tabs>
        <w:tab w:val="center" w:pos="4677" w:leader="none"/>
        <w:tab w:val="right" w:pos="9355" w:leader="none"/>
      </w:tabs>
    </w:pPr>
    <w:rPr>
      <w:rFonts w:ascii="Calibri" w:hAnsi="Calibri" w:eastAsia="Calibri"/>
      <w:sz w:val="22"/>
      <w:szCs w:val="22"/>
      <w:lang w:eastAsia="en-US"/>
    </w:rPr>
  </w:style>
  <w:style w:type="character" w:styleId="926" w:customStyle="1">
    <w:name w:val="Верхний колонтитул Знак"/>
    <w:basedOn w:val="722"/>
    <w:link w:val="925"/>
    <w:uiPriority w:val="99"/>
    <w:rPr>
      <w:rFonts w:ascii="Calibri" w:hAnsi="Calibri" w:eastAsia="Calibri" w:cs="Times New Roman"/>
    </w:rPr>
  </w:style>
  <w:style w:type="character" w:styleId="927">
    <w:name w:val="annotation reference"/>
    <w:uiPriority w:val="99"/>
    <w:semiHidden/>
    <w:unhideWhenUsed/>
    <w:rPr>
      <w:sz w:val="16"/>
      <w:szCs w:val="16"/>
    </w:rPr>
  </w:style>
  <w:style w:type="paragraph" w:styleId="928">
    <w:name w:val="annotation text"/>
    <w:basedOn w:val="712"/>
    <w:link w:val="929"/>
    <w:uiPriority w:val="99"/>
    <w:semiHidden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29" w:customStyle="1">
    <w:name w:val="Текст примечания Знак"/>
    <w:basedOn w:val="722"/>
    <w:link w:val="928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930">
    <w:name w:val="annotation subject"/>
    <w:basedOn w:val="928"/>
    <w:next w:val="928"/>
    <w:link w:val="931"/>
    <w:uiPriority w:val="99"/>
    <w:semiHidden/>
    <w:unhideWhenUsed/>
    <w:rPr>
      <w:b/>
      <w:bCs/>
    </w:rPr>
  </w:style>
  <w:style w:type="character" w:styleId="931" w:customStyle="1">
    <w:name w:val="Тема примечания Знак"/>
    <w:basedOn w:val="929"/>
    <w:link w:val="930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table" w:styleId="932">
    <w:name w:val="Table Grid"/>
    <w:basedOn w:val="723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33" w:customStyle="1">
    <w:name w:val="Нет списка3"/>
    <w:next w:val="724"/>
    <w:uiPriority w:val="99"/>
    <w:semiHidden/>
    <w:unhideWhenUsed/>
  </w:style>
  <w:style w:type="numbering" w:styleId="934" w:customStyle="1">
    <w:name w:val="Нет списка11"/>
    <w:next w:val="724"/>
    <w:semiHidden/>
  </w:style>
  <w:style w:type="paragraph" w:styleId="935">
    <w:name w:val="Title"/>
    <w:basedOn w:val="712"/>
    <w:next w:val="712"/>
    <w:link w:val="936"/>
    <w:uiPriority w:val="10"/>
    <w:qFormat/>
    <w:pPr>
      <w:jc w:val="center"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styleId="936" w:customStyle="1">
    <w:name w:val="Название Знак"/>
    <w:basedOn w:val="722"/>
    <w:link w:val="935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937">
    <w:name w:val="Body Text Indent"/>
    <w:basedOn w:val="712"/>
    <w:link w:val="938"/>
    <w:uiPriority w:val="99"/>
    <w:unhideWhenUsed/>
    <w:pPr>
      <w:ind w:left="283"/>
      <w:spacing w:after="120"/>
    </w:pPr>
  </w:style>
  <w:style w:type="character" w:styleId="938" w:customStyle="1">
    <w:name w:val="Основной текст с отступом Знак"/>
    <w:basedOn w:val="722"/>
    <w:link w:val="93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9">
    <w:name w:val="Body Text Indent 2"/>
    <w:basedOn w:val="712"/>
    <w:link w:val="940"/>
    <w:uiPriority w:val="99"/>
    <w:semiHidden/>
    <w:unhideWhenUsed/>
    <w:pPr>
      <w:ind w:left="283"/>
      <w:spacing w:after="120" w:line="480" w:lineRule="auto"/>
    </w:pPr>
  </w:style>
  <w:style w:type="character" w:styleId="940" w:customStyle="1">
    <w:name w:val="Основной текст с отступом 2 Знак"/>
    <w:basedOn w:val="722"/>
    <w:link w:val="939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42" w:customStyle="1">
    <w:name w:val="Обычный1"/>
    <w:pPr>
      <w:ind w:left="40" w:firstLine="100"/>
      <w:jc w:val="both"/>
      <w:spacing w:after="0" w:line="240" w:lineRule="auto"/>
      <w:widowControl w:val="off"/>
    </w:pPr>
    <w:rPr>
      <w:rFonts w:ascii="Arial" w:hAnsi="Arial" w:eastAsia="Times New Roman" w:cs="Times New Roman"/>
      <w:sz w:val="16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utp.sberbank-ast.ru/AP/Notice/652/Instruction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13559-5175-4A84-88CB-310D95D00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Сергей Григорьевич</dc:creator>
  <cp:keywords/>
  <dc:description/>
  <cp:lastModifiedBy>osleskova@pk.gov</cp:lastModifiedBy>
  <cp:revision>8</cp:revision>
  <dcterms:created xsi:type="dcterms:W3CDTF">2026-08-19T10:54:00Z</dcterms:created>
  <dcterms:modified xsi:type="dcterms:W3CDTF">2026-09-18T09:40:49Z</dcterms:modified>
</cp:coreProperties>
</file>