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keepNext/>
        <w:spacing w:line="260" w:lineRule="exact"/>
        <w:rPr>
          <w:b/>
          <w:bCs/>
          <w:sz w:val="28"/>
          <w:szCs w:val="28"/>
        </w:rPr>
        <w:outlineLvl w:val="1"/>
      </w:pPr>
      <w:r>
        <w:rPr>
          <w:b/>
          <w:bCs/>
          <w:sz w:val="28"/>
          <w:szCs w:val="28"/>
        </w:rPr>
        <w:t xml:space="preserve">ИНФОРМАЦИОННОЕ СООБЩЕНИЕ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95"/>
        <w:jc w:val="center"/>
        <w:spacing w:line="260" w:lineRule="exact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о продаже государственного имущества </w:t>
      </w:r>
      <w:r>
        <w:rPr>
          <w:sz w:val="28"/>
          <w:szCs w:val="28"/>
        </w:rPr>
        <w:t xml:space="preserve">Пермского края в порядке </w:t>
      </w:r>
      <w:r>
        <w:rPr>
          <w:sz w:val="28"/>
          <w:szCs w:val="28"/>
        </w:rPr>
        <w:br/>
        <w:t xml:space="preserve">приватизации на аукционе</w:t>
      </w:r>
      <w:r>
        <w:rPr>
          <w:rFonts w:eastAsiaTheme="minorEastAsia"/>
          <w:sz w:val="28"/>
          <w:szCs w:val="28"/>
        </w:rPr>
        <w:t xml:space="preserve"> в электронной форме</w:t>
      </w:r>
      <w:r>
        <w:rPr>
          <w:rFonts w:eastAsiaTheme="minorEastAsia"/>
          <w:sz w:val="28"/>
          <w:szCs w:val="28"/>
        </w:rPr>
      </w:r>
      <w:r>
        <w:rPr>
          <w:rFonts w:eastAsiaTheme="minorEastAsia"/>
          <w:sz w:val="28"/>
          <w:szCs w:val="28"/>
        </w:rPr>
      </w:r>
    </w:p>
    <w:p>
      <w:pPr>
        <w:pStyle w:val="895"/>
        <w:ind w:firstLine="709"/>
        <w:jc w:val="center"/>
        <w:spacing w:line="280" w:lineRule="exact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</w:r>
      <w:r>
        <w:rPr>
          <w:rFonts w:eastAsiaTheme="minorEastAsia"/>
          <w:sz w:val="28"/>
          <w:szCs w:val="28"/>
        </w:rPr>
      </w:r>
      <w:r>
        <w:rPr>
          <w:rFonts w:eastAsiaTheme="minorEastAsia"/>
          <w:sz w:val="28"/>
          <w:szCs w:val="28"/>
        </w:rPr>
      </w:r>
    </w:p>
    <w:p>
      <w:pPr>
        <w:pStyle w:val="895"/>
        <w:ind w:firstLine="709"/>
        <w:jc w:val="both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 xml:space="preserve">Министерство по управлению имуществом и градостроительной деятельности Пермского края (далее – Продавец) сообщает о продаже </w:t>
      </w:r>
      <w:r>
        <w:rPr>
          <w:rFonts w:eastAsiaTheme="minorEastAsia"/>
          <w:sz w:val="28"/>
          <w:szCs w:val="28"/>
        </w:rPr>
        <w:t xml:space="preserve">краевого имущества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в порядке приватизации на аукционе в электронной форме.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5"/>
        <w:ind w:firstLine="709"/>
        <w:jc w:val="both"/>
        <w:spacing w:line="260" w:lineRule="exact"/>
        <w:rPr>
          <w:sz w:val="28"/>
          <w:szCs w:val="28"/>
          <w:highlight w:val="white"/>
        </w:rPr>
      </w:pPr>
      <w:r>
        <w:rPr>
          <w:b/>
          <w:sz w:val="28"/>
          <w:szCs w:val="28"/>
        </w:rPr>
        <w:t xml:space="preserve">1. Наименование государственного органа, принявшего решение </w:t>
      </w:r>
      <w:r>
        <w:rPr>
          <w:b/>
          <w:sz w:val="28"/>
          <w:szCs w:val="28"/>
        </w:rPr>
        <w:br/>
        <w:t xml:space="preserve">об условиях приватизации краевого имущества, реквизиты указанного решения:</w:t>
      </w:r>
      <w:r>
        <w:rPr>
          <w:sz w:val="28"/>
          <w:szCs w:val="28"/>
        </w:rPr>
        <w:t xml:space="preserve"> Министерство по уп</w:t>
      </w:r>
      <w:r>
        <w:rPr>
          <w:sz w:val="28"/>
          <w:szCs w:val="28"/>
          <w:highlight w:val="white"/>
        </w:rPr>
        <w:t xml:space="preserve">равлению имуществом и градостроительной деятельности Пермского края; приказ </w:t>
      </w:r>
      <w:r>
        <w:rPr>
          <w:sz w:val="28"/>
          <w:szCs w:val="28"/>
          <w:highlight w:val="white"/>
        </w:rPr>
        <w:t xml:space="preserve">Министерства по управлению имуществом</w:t>
      </w:r>
      <w:r>
        <w:rPr>
          <w:sz w:val="28"/>
          <w:szCs w:val="28"/>
          <w:highlight w:val="white"/>
        </w:rPr>
        <w:br/>
        <w:t xml:space="preserve">и градостроительной деятельности Пермского </w:t>
      </w:r>
      <w:r>
        <w:rPr>
          <w:sz w:val="28"/>
          <w:szCs w:val="28"/>
          <w:highlight w:val="white"/>
        </w:rPr>
        <w:t xml:space="preserve">края </w:t>
      </w:r>
      <w:r>
        <w:rPr>
          <w:sz w:val="28"/>
          <w:szCs w:val="28"/>
          <w:highlight w:val="white"/>
        </w:rPr>
        <w:t xml:space="preserve">от 09 октября</w:t>
      </w:r>
      <w:r>
        <w:rPr>
          <w:sz w:val="28"/>
          <w:szCs w:val="28"/>
          <w:highlight w:val="white"/>
        </w:rPr>
        <w:t xml:space="preserve"> 202</w:t>
      </w:r>
      <w:r>
        <w:rPr>
          <w:sz w:val="28"/>
          <w:szCs w:val="28"/>
          <w:highlight w:val="white"/>
        </w:rPr>
        <w:t xml:space="preserve">6</w:t>
      </w:r>
      <w:r>
        <w:rPr>
          <w:sz w:val="28"/>
          <w:szCs w:val="28"/>
          <w:highlight w:val="white"/>
        </w:rPr>
        <w:t xml:space="preserve"> г. </w:t>
      </w:r>
      <w:r>
        <w:rPr>
          <w:sz w:val="28"/>
          <w:szCs w:val="28"/>
          <w:highlight w:val="white"/>
        </w:rPr>
        <w:br/>
      </w:r>
      <w:r>
        <w:rPr>
          <w:sz w:val="28"/>
          <w:szCs w:val="28"/>
          <w:highlight w:val="white"/>
        </w:rPr>
        <w:t xml:space="preserve">№ </w:t>
      </w:r>
      <w:r>
        <w:rPr>
          <w:sz w:val="28"/>
          <w:szCs w:val="28"/>
          <w:highlight w:val="white"/>
        </w:rPr>
        <w:t xml:space="preserve">31-02-1-4-</w:t>
      </w:r>
      <w:r>
        <w:rPr>
          <w:sz w:val="28"/>
          <w:szCs w:val="28"/>
          <w:highlight w:val="white"/>
        </w:rPr>
        <w:t xml:space="preserve">2</w:t>
      </w:r>
      <w:r>
        <w:rPr>
          <w:sz w:val="28"/>
          <w:szCs w:val="28"/>
          <w:highlight w:val="white"/>
        </w:rPr>
        <w:t xml:space="preserve">3</w:t>
      </w:r>
      <w:r>
        <w:rPr>
          <w:sz w:val="28"/>
          <w:szCs w:val="28"/>
          <w:highlight w:val="white"/>
        </w:rPr>
        <w:t xml:space="preserve">8</w:t>
      </w:r>
      <w:r>
        <w:rPr>
          <w:sz w:val="28"/>
          <w:szCs w:val="28"/>
          <w:highlight w:val="white"/>
        </w:rPr>
        <w:t xml:space="preserve">1</w:t>
      </w:r>
      <w:r>
        <w:rPr>
          <w:sz w:val="28"/>
          <w:szCs w:val="28"/>
          <w:highlight w:val="white"/>
        </w:rPr>
        <w:t xml:space="preserve"> «Об условиях приватизации имущества Пермского края </w:t>
      </w:r>
      <w:r>
        <w:rPr>
          <w:sz w:val="28"/>
          <w:szCs w:val="28"/>
          <w:highlight w:val="white"/>
        </w:rPr>
        <w:br/>
        <w:t xml:space="preserve">на аукционе в электронной форме»</w:t>
      </w:r>
      <w:r>
        <w:rPr>
          <w:sz w:val="28"/>
          <w:szCs w:val="28"/>
          <w:highlight w:val="white"/>
        </w:rPr>
        <w:t xml:space="preserve">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5"/>
        <w:ind w:firstLine="709"/>
        <w:jc w:val="both"/>
        <w:spacing w:line="260" w:lineRule="exact"/>
        <w:rPr>
          <w:b/>
          <w:sz w:val="28"/>
          <w:szCs w:val="28"/>
        </w:rPr>
      </w:pPr>
      <w:r>
        <w:rPr>
          <w:b/>
          <w:sz w:val="28"/>
          <w:szCs w:val="28"/>
          <w:highlight w:val="white"/>
        </w:rPr>
        <w:t xml:space="preserve">2. Наименование, место нахождени</w:t>
      </w:r>
      <w:r>
        <w:rPr>
          <w:b/>
          <w:sz w:val="28"/>
          <w:szCs w:val="28"/>
        </w:rPr>
        <w:t xml:space="preserve">я, почтовый адрес, адрес электронной почты, номер контактного телефона Продавца: </w:t>
      </w:r>
      <w:r>
        <w:rPr>
          <w:sz w:val="28"/>
          <w:szCs w:val="28"/>
        </w:rPr>
        <w:t xml:space="preserve">Министерство</w:t>
      </w:r>
      <w:r>
        <w:rPr>
          <w:sz w:val="28"/>
          <w:szCs w:val="28"/>
        </w:rPr>
        <w:t xml:space="preserve"> по управлению имуществом и градостроительной деятельности Пермского края; 614000, Пермский край, г. Пермь, ул. Сибирская, д. 30а, корпус А; электронная почта: </w:t>
      </w:r>
      <w:r>
        <w:rPr>
          <w:sz w:val="28"/>
          <w:szCs w:val="28"/>
          <w:lang w:val="en-US"/>
        </w:rPr>
        <w:t xml:space="preserve">nazubareva</w:t>
      </w:r>
      <w:r>
        <w:rPr>
          <w:sz w:val="28"/>
          <w:szCs w:val="28"/>
        </w:rPr>
        <w:t xml:space="preserve">@</w:t>
      </w:r>
      <w:r>
        <w:rPr>
          <w:sz w:val="28"/>
          <w:szCs w:val="28"/>
          <w:lang w:val="en-US"/>
        </w:rPr>
        <w:t xml:space="preserve">auprim</w:t>
      </w:r>
      <w:r>
        <w:rPr>
          <w:sz w:val="28"/>
          <w:szCs w:val="28"/>
        </w:rPr>
        <w:t xml:space="preserve">.permkra</w:t>
      </w:r>
      <w:r>
        <w:rPr>
          <w:sz w:val="28"/>
          <w:szCs w:val="28"/>
          <w:lang w:val="en-US"/>
        </w:rPr>
        <w:t xml:space="preserve">i</w:t>
      </w:r>
      <w:r>
        <w:rPr>
          <w:sz w:val="28"/>
          <w:szCs w:val="28"/>
        </w:rPr>
        <w:t xml:space="preserve">.ru; номер контактного тел.: (342) 2110467 (доб. 1168); факс: (342) 211 04 02.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95"/>
        <w:ind w:firstLine="709"/>
        <w:jc w:val="both"/>
        <w:spacing w:line="26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Наименование краевого имущества и иные позволяющие </w:t>
      </w:r>
      <w:r>
        <w:rPr>
          <w:b/>
          <w:sz w:val="28"/>
          <w:szCs w:val="28"/>
        </w:rPr>
        <w:br/>
        <w:t xml:space="preserve">его индивидуализировать сведения (спецификация лота):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95"/>
        <w:ind w:firstLine="709"/>
        <w:jc w:val="both"/>
        <w:spacing w:line="260" w:lineRule="exact"/>
        <w:rPr>
          <w:sz w:val="28"/>
          <w:szCs w:val="28"/>
        </w:rPr>
      </w:pPr>
      <w:r>
        <w:rPr>
          <w:b/>
          <w:sz w:val="28"/>
          <w:szCs w:val="28"/>
        </w:rPr>
        <w:t xml:space="preserve">Лот №1.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Здание овощехранилища с ледником, количество этажей: 2, в том числе подземных 1, назначение: нежилое, площадь: 87,3 кв.м, кадастровый номер 59:32:0190001:1266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5"/>
        <w:ind w:firstLine="709"/>
        <w:jc w:val="both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 xml:space="preserve">Столовая, количество этажей: 1, в том числе подземных 0, назначение: нежилое, площадь: 254 кв.м, кадастровый номер 59:32:0190001:1262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5"/>
        <w:ind w:firstLine="709"/>
        <w:jc w:val="both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 xml:space="preserve">Арочный склад, количество этажей: 1, в том числе подземных 0, назначение: нежилое, площадь: 225 кв.м, кадастровый номер 59:32:0190001:1268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5"/>
        <w:ind w:firstLine="709"/>
        <w:jc w:val="both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 xml:space="preserve">Эстрада, количество этажей: 2, в том числе подземных 0, назначение: нежилое, площадь: 406,6 кв.м, кадастровый номер 59:32:0190001:1264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5"/>
        <w:ind w:firstLine="709"/>
        <w:jc w:val="both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 xml:space="preserve">Здание для размещения пункта охраны на территории детского оздоровительного лагеря, количество этажей: 1, в том числе подземных 0, назначение: нежилое, площадь: 49,1 кв.м, кадастровый номер 59:32:0190001:1269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5"/>
        <w:ind w:firstLine="709"/>
        <w:jc w:val="both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 xml:space="preserve">Изолятор, количество этажей: 1, в том числе подземных 0, назначение: нежилое, площадь: 78 кв.м, кадастровый номер 59:32:0190001:1265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5"/>
        <w:ind w:firstLine="709"/>
        <w:jc w:val="both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 xml:space="preserve">Душевая с прачечной, количество этажей: 1, в том числе подземных 0, назначение: нежилое, площадь: 139,6 кв.м, кадастровый номер 59:32:0190001:1260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5"/>
        <w:ind w:firstLine="709"/>
        <w:jc w:val="both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 xml:space="preserve">Общежитие № 2, количество этажей: 1, в том числе подземных 0, назначение: нежилое, площадь: 137 кв.м, кадастровый номер 59:32:0190001:1258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5"/>
        <w:ind w:firstLine="709"/>
        <w:jc w:val="both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 xml:space="preserve">Спальный корпус № 1, количество этажей: 1, в том числе подземных 0, назначение: нежилое, площадь: 153,6 кв.м, кадастровый номер 59:32:0190001:1263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5"/>
        <w:ind w:firstLine="709"/>
        <w:jc w:val="both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 xml:space="preserve">Спальный корпус, количество этажей: 3, в том числе подземных 1, назначение: нежилое, площадь: 516,6 кв.м, кадастровый номер 59:32:0000000:12245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5"/>
        <w:ind w:firstLine="709"/>
        <w:jc w:val="both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 xml:space="preserve">Общежитие № 1, количество этажей: 1, в том числе подземных 0, назначение: нежилое, площадь: 215,4 кв.м, кадастровый номер 59:32:0190001:1259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5"/>
        <w:ind w:firstLine="709"/>
        <w:jc w:val="both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 xml:space="preserve">Спальный корпус № 4, количество этажей: 1, в том числе подземных 0, назначение: нежилое, площадь: 159,2 кв.м, кадастровый номер 59:32:0190001:1261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5"/>
        <w:ind w:firstLine="709"/>
        <w:jc w:val="both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 xml:space="preserve">Спальный корпус № 2, количество этажей: 1, в том числе подземных 0, назначение: нежилое, площадь: 156,7 кв.м, кадастровый номер 59:32:0190001:1271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5"/>
        <w:ind w:firstLine="709"/>
        <w:jc w:val="both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 xml:space="preserve">Административный корпус, количество этажей: 1, в том числе подземных 0, назначение: нежилое, площадь: 103,4 кв.м, кадастровый номер 59:32:0190001:1267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5"/>
        <w:ind w:firstLine="709"/>
        <w:jc w:val="both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 xml:space="preserve">Продовольственно-вещевой склад, количество этажей: 1, в том числе подземных 0, назначение: нежилое, площадь: 58,1 кв.м, кадастровый номер 59:32:0190001:1272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5"/>
        <w:ind w:firstLine="709"/>
        <w:jc w:val="both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 xml:space="preserve">Спальный корпус № 3, количество этажей: 1, в том числе подземных 0, назначение: нежилое, площадь: 148,9 кв.м, кадастровый номер 59:32:0000000:12246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5"/>
        <w:ind w:firstLine="709"/>
        <w:jc w:val="both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 xml:space="preserve">металлический забор из сетки-рабицы с железобетонными и металлическими столбами, общая протяженность 857 м, общее количество секций забора – 285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5"/>
        <w:ind w:firstLine="709"/>
        <w:jc w:val="both"/>
        <w:spacing w:line="260" w:lineRule="exact"/>
        <w:rPr>
          <w:rFonts w:eastAsiaTheme="minorHAnsi"/>
          <w:color w:val="000000"/>
          <w:sz w:val="28"/>
          <w:szCs w:val="28"/>
          <w:lang w:eastAsia="en-US"/>
        </w:rPr>
      </w:pPr>
      <w:r>
        <w:rPr>
          <w:sz w:val="28"/>
          <w:szCs w:val="28"/>
        </w:rPr>
        <w:t xml:space="preserve">с земельным участком с кадастровым номером 59:32:4610008:25, площадью 70179 кв. м, по адресу: Российская Федерация, Пермский край, м.о. Пермский, </w:t>
        <w:br/>
        <w:t xml:space="preserve">с. Янычи, ОДО «Радуга»</w:t>
      </w:r>
      <w:r>
        <w:rPr>
          <w:rFonts w:eastAsiaTheme="minorHAnsi"/>
          <w:color w:val="000000"/>
          <w:sz w:val="28"/>
          <w:szCs w:val="28"/>
          <w:lang w:eastAsia="en-US"/>
        </w:rPr>
      </w:r>
      <w:r>
        <w:rPr>
          <w:rFonts w:eastAsiaTheme="minorHAnsi"/>
          <w:color w:val="000000"/>
          <w:sz w:val="28"/>
          <w:szCs w:val="28"/>
          <w:lang w:eastAsia="en-US"/>
        </w:rPr>
      </w:r>
    </w:p>
    <w:p>
      <w:pPr>
        <w:pStyle w:val="895"/>
        <w:ind w:firstLine="709"/>
        <w:jc w:val="both"/>
        <w:spacing w:line="260" w:lineRule="exact"/>
        <w:rPr>
          <w:sz w:val="28"/>
          <w:szCs w:val="28"/>
        </w:rPr>
      </w:pPr>
      <w:r>
        <w:rPr>
          <w:b/>
          <w:sz w:val="28"/>
          <w:szCs w:val="28"/>
        </w:rPr>
        <w:t xml:space="preserve">Начальная цена продажи краевого имущества: </w:t>
      </w:r>
      <w:r>
        <w:rPr>
          <w:sz w:val="28"/>
          <w:szCs w:val="28"/>
        </w:rPr>
        <w:t xml:space="preserve">22 667 000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Двадцать два миллиона шестьсот шестьдесят семь тысяч</w:t>
      </w:r>
      <w:r>
        <w:rPr>
          <w:sz w:val="28"/>
          <w:szCs w:val="28"/>
        </w:rPr>
        <w:t xml:space="preserve">) рублей 00 копеек с учетом НДС.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5"/>
        <w:ind w:firstLine="709"/>
        <w:jc w:val="both"/>
        <w:spacing w:line="260" w:lineRule="exact"/>
        <w:rPr>
          <w:sz w:val="28"/>
          <w:szCs w:val="28"/>
        </w:rPr>
      </w:pPr>
      <w:r>
        <w:rPr>
          <w:b/>
          <w:sz w:val="28"/>
          <w:szCs w:val="28"/>
        </w:rPr>
        <w:t xml:space="preserve">Величина повышения начальной цены («шаг аукциона»): </w:t>
      </w:r>
      <w:r>
        <w:rPr>
          <w:sz w:val="28"/>
          <w:szCs w:val="28"/>
        </w:rPr>
        <w:t xml:space="preserve">1 133 350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</w:t>
      </w:r>
      <w:r>
        <w:rPr>
          <w:sz w:val="28"/>
          <w:szCs w:val="28"/>
        </w:rPr>
        <w:t xml:space="preserve">Один миллион сто тридцать три тысячи триста пятьдесят</w:t>
      </w:r>
      <w:r>
        <w:rPr>
          <w:sz w:val="28"/>
          <w:szCs w:val="28"/>
        </w:rPr>
        <w:t xml:space="preserve">) рублей </w:t>
      </w:r>
      <w:r>
        <w:rPr>
          <w:sz w:val="28"/>
          <w:szCs w:val="28"/>
        </w:rPr>
        <w:t xml:space="preserve">0</w:t>
      </w:r>
      <w:r>
        <w:rPr>
          <w:sz w:val="28"/>
          <w:szCs w:val="28"/>
        </w:rPr>
        <w:t xml:space="preserve">0 копеек с учетом НДС, что составляет 5% от начальной цены продажи.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5"/>
        <w:ind w:firstLine="709"/>
        <w:jc w:val="both"/>
        <w:spacing w:line="260" w:lineRule="exact"/>
        <w:rPr>
          <w:sz w:val="28"/>
          <w:szCs w:val="28"/>
        </w:rPr>
      </w:pPr>
      <w:r>
        <w:rPr>
          <w:b/>
          <w:sz w:val="28"/>
          <w:szCs w:val="28"/>
        </w:rPr>
        <w:t xml:space="preserve">Размер задатка: </w:t>
      </w:r>
      <w:r>
        <w:rPr>
          <w:sz w:val="28"/>
          <w:szCs w:val="28"/>
        </w:rPr>
        <w:t xml:space="preserve">2 266 700 </w:t>
      </w:r>
      <w:r>
        <w:rPr>
          <w:sz w:val="28"/>
          <w:szCs w:val="28"/>
        </w:rPr>
        <w:t xml:space="preserve">(</w:t>
      </w:r>
      <w:r>
        <w:rPr>
          <w:sz w:val="28"/>
          <w:szCs w:val="28"/>
        </w:rPr>
        <w:t xml:space="preserve">Два миллиона двести шестьдесят шесть тысяч семьсот</w:t>
      </w:r>
      <w:r>
        <w:rPr>
          <w:sz w:val="28"/>
          <w:szCs w:val="28"/>
        </w:rPr>
        <w:t xml:space="preserve">) рублей 00 копеек, что составляет 10% от начальной цены продажи.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3"/>
        <w:ind w:right="126" w:firstLine="709"/>
        <w:jc w:val="both"/>
        <w:spacing w:after="0" w:line="280" w:lineRule="exact"/>
        <w:rPr>
          <w:sz w:val="28"/>
          <w:szCs w:val="28"/>
        </w:rPr>
      </w:pPr>
      <w:r>
        <w:rPr>
          <w:b/>
          <w:sz w:val="28"/>
          <w:szCs w:val="28"/>
        </w:rPr>
        <w:t xml:space="preserve">4. Обременение, ограничение: </w:t>
      </w:r>
      <w:r>
        <w:rPr>
          <w:sz w:val="28"/>
          <w:szCs w:val="28"/>
        </w:rPr>
        <w:t xml:space="preserve"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договор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купли-продажи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имущества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указанного в Лоте №1</w:t>
      </w:r>
      <w:r>
        <w:rPr>
          <w:sz w:val="28"/>
          <w:szCs w:val="28"/>
        </w:rPr>
        <w:t xml:space="preserve">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включа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тся </w:t>
      </w:r>
      <w:r>
        <w:rPr>
          <w:sz w:val="28"/>
          <w:szCs w:val="28"/>
        </w:rPr>
        <w:t xml:space="preserve">существенн</w:t>
      </w:r>
      <w:r>
        <w:rPr>
          <w:sz w:val="28"/>
          <w:szCs w:val="28"/>
        </w:rPr>
        <w:t xml:space="preserve">ое</w:t>
      </w:r>
      <w:r>
        <w:rPr>
          <w:sz w:val="28"/>
          <w:szCs w:val="28"/>
        </w:rPr>
        <w:t xml:space="preserve"> услови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граничени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 использования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мущества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указанного в Лоте №1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в течение 10 лет со дня перехода права собственности по следующему назначению: социальная инфраструктура </w:t>
        <w:br/>
        <w:t xml:space="preserve">для детей (для отдыха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оздоровления).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3"/>
        <w:ind w:right="126" w:firstLine="709"/>
        <w:jc w:val="both"/>
        <w:spacing w:after="0" w:line="280" w:lineRule="exact"/>
        <w:rPr>
          <w:sz w:val="28"/>
          <w:szCs w:val="28"/>
        </w:rPr>
      </w:pPr>
      <w:r>
        <w:rPr>
          <w:b/>
          <w:sz w:val="28"/>
          <w:szCs w:val="28"/>
        </w:rPr>
        <w:t xml:space="preserve">5</w:t>
      </w:r>
      <w:r>
        <w:rPr>
          <w:b/>
          <w:sz w:val="28"/>
          <w:szCs w:val="28"/>
        </w:rPr>
        <w:t xml:space="preserve">. Способ приватизации краевого имущества: </w:t>
      </w:r>
      <w:r>
        <w:rPr>
          <w:sz w:val="28"/>
          <w:szCs w:val="28"/>
        </w:rPr>
        <w:t xml:space="preserve">продажа краевого имущества на аукционе </w:t>
      </w:r>
      <w:r>
        <w:rPr>
          <w:rFonts w:eastAsiaTheme="minorEastAsia"/>
          <w:sz w:val="28"/>
          <w:szCs w:val="28"/>
        </w:rPr>
        <w:t xml:space="preserve">в электронной форме </w:t>
      </w:r>
      <w:r>
        <w:rPr>
          <w:sz w:val="28"/>
          <w:szCs w:val="28"/>
        </w:rPr>
        <w:t xml:space="preserve">на электронной площадке </w:t>
      </w:r>
      <w:r>
        <w:rPr>
          <w:sz w:val="28"/>
          <w:szCs w:val="28"/>
        </w:rPr>
        <w:t xml:space="preserve">АО «Сбербанк-Автоматизированная система торгов», включенной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Перечень юридических лиц для организации продажи государственного и муниципального имущества </w:t>
        <w:br/>
        <w:t xml:space="preserve">в электронной форме, утвержденный распоряжением Правительства Российской Федерации от 4 декабря 2015 г. № 2488-р, (далее - Организатор), расположенной на сайте </w:t>
      </w:r>
      <w:r>
        <w:rPr>
          <w:sz w:val="28"/>
          <w:szCs w:val="28"/>
          <w:lang w:val="en-US"/>
        </w:rPr>
        <w:t xml:space="preserve">http</w:t>
      </w:r>
      <w:r>
        <w:rPr>
          <w:sz w:val="28"/>
          <w:szCs w:val="28"/>
        </w:rPr>
        <w:t xml:space="preserve">://</w:t>
      </w:r>
      <w:r>
        <w:rPr>
          <w:sz w:val="28"/>
          <w:szCs w:val="28"/>
          <w:lang w:val="en-US"/>
        </w:rPr>
        <w:t xml:space="preserve">utp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lang w:val="en-US"/>
        </w:rPr>
        <w:t xml:space="preserve">sberbank</w:t>
      </w:r>
      <w:r>
        <w:rPr>
          <w:sz w:val="28"/>
          <w:szCs w:val="28"/>
        </w:rPr>
        <w:t xml:space="preserve">-</w:t>
      </w:r>
      <w:r>
        <w:rPr>
          <w:sz w:val="28"/>
          <w:szCs w:val="28"/>
          <w:lang w:val="en-US"/>
        </w:rPr>
        <w:t xml:space="preserve">ast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lang w:val="en-US"/>
        </w:rPr>
        <w:t xml:space="preserve">ru</w:t>
      </w:r>
      <w:r>
        <w:rPr>
          <w:sz w:val="28"/>
          <w:szCs w:val="28"/>
        </w:rPr>
        <w:t xml:space="preserve">/</w:t>
      </w:r>
      <w:r>
        <w:rPr>
          <w:sz w:val="28"/>
          <w:szCs w:val="28"/>
          <w:lang w:val="en-US"/>
        </w:rPr>
        <w:t xml:space="preserve">AP</w:t>
      </w:r>
      <w:r>
        <w:rPr>
          <w:rStyle w:val="889"/>
          <w:rFonts w:eastAsia="Arial"/>
          <w:sz w:val="28"/>
          <w:szCs w:val="28"/>
        </w:rPr>
        <w:t xml:space="preserve"> </w:t>
      </w:r>
      <w:r>
        <w:rPr>
          <w:sz w:val="28"/>
          <w:szCs w:val="28"/>
        </w:rPr>
        <w:t xml:space="preserve">в сети «Интернет».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tabs>
          <w:tab w:val="left" w:pos="1418" w:leader="none"/>
        </w:tabs>
        <w:rPr>
          <w:b/>
          <w:sz w:val="28"/>
          <w:szCs w:val="28"/>
          <w:highlight w:val="white"/>
        </w:rPr>
      </w:pPr>
      <w:r>
        <w:rPr>
          <w:b/>
          <w:sz w:val="28"/>
          <w:szCs w:val="28"/>
        </w:rPr>
        <w:t xml:space="preserve">6</w:t>
      </w:r>
      <w:r>
        <w:rPr>
          <w:b/>
          <w:sz w:val="28"/>
          <w:szCs w:val="28"/>
        </w:rPr>
        <w:t xml:space="preserve">. Форма подачи предложений о цене краевого имущества: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представление предложений о цене имущества осуществляется зарегистрированным участником продажи в течение одной процедуры проведения аукциона. Подача предложений </w:t>
      </w:r>
      <w:r>
        <w:rPr>
          <w:sz w:val="28"/>
          <w:szCs w:val="28"/>
        </w:rPr>
        <w:br/>
        <w:t xml:space="preserve">о цене имущества осуществляется в «личном кабине</w:t>
      </w:r>
      <w:r>
        <w:rPr>
          <w:sz w:val="28"/>
          <w:szCs w:val="28"/>
        </w:rPr>
        <w:t xml:space="preserve">те» участника посредством штатного интерфейса в день и время проведения аукциона, указанные в настоящем </w:t>
      </w:r>
      <w:r>
        <w:rPr>
          <w:sz w:val="28"/>
          <w:szCs w:val="28"/>
          <w:highlight w:val="white"/>
        </w:rPr>
        <w:t xml:space="preserve">Информационном сообщении, на электронной площадке – универсальная торговая платформа АО «Сбербанк-АСТ», размещенная на сайте http://utp.sberbank-ast.ru </w:t>
      </w:r>
      <w:r>
        <w:rPr>
          <w:sz w:val="28"/>
          <w:szCs w:val="28"/>
          <w:highlight w:val="white"/>
        </w:rPr>
        <w:br/>
        <w:t xml:space="preserve">в сети «Интернет».</w:t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ind w:firstLine="709"/>
        <w:jc w:val="both"/>
        <w:spacing w:line="260" w:lineRule="exact"/>
        <w:rPr>
          <w:b/>
          <w:color w:val="000000" w:themeColor="text1"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7</w:t>
      </w:r>
      <w:r>
        <w:rPr>
          <w:b/>
          <w:sz w:val="28"/>
          <w:szCs w:val="28"/>
          <w:highlight w:val="white"/>
        </w:rPr>
        <w:t xml:space="preserve">. Сроки и порядок внесения и возвращения задатка, назначение платежа, реквизиты счета: </w:t>
      </w:r>
      <w:r>
        <w:rPr>
          <w:sz w:val="28"/>
          <w:szCs w:val="28"/>
          <w:highlight w:val="white"/>
        </w:rPr>
        <w:t xml:space="preserve">для участия в аукционе претенденты перечисляют задаток </w:t>
      </w:r>
      <w:r>
        <w:rPr>
          <w:sz w:val="28"/>
          <w:szCs w:val="28"/>
          <w:highlight w:val="white"/>
        </w:rPr>
        <w:br/>
        <w:t xml:space="preserve">в установленном настоящим Информационном сообщении размере в счет обеспечения оплаты приобретаемого имущества </w:t>
      </w:r>
      <w:r>
        <w:rPr>
          <w:b/>
          <w:sz w:val="28"/>
          <w:szCs w:val="28"/>
          <w:highlight w:val="white"/>
        </w:rPr>
        <w:t xml:space="preserve">на счет Организатора - </w:t>
      </w:r>
      <w:r>
        <w:rPr>
          <w:b/>
          <w:sz w:val="28"/>
          <w:szCs w:val="28"/>
          <w:highlight w:val="white"/>
        </w:rPr>
        <w:br/>
      </w:r>
      <w:r>
        <w:rPr>
          <w:b/>
          <w:bCs/>
          <w:sz w:val="28"/>
          <w:szCs w:val="28"/>
          <w:highlight w:val="white"/>
        </w:rPr>
        <w:t xml:space="preserve">АО «Сбербанк-АСТ»; ИНН 7707308480 КПП 770401001; расчетный счет 40702810300020038047; ПАО «Сбербанк России» г. Москва; БИК 044525225; корре</w:t>
      </w:r>
      <w:r>
        <w:rPr>
          <w:b/>
          <w:bCs/>
          <w:color w:val="000000" w:themeColor="text1"/>
          <w:sz w:val="28"/>
          <w:szCs w:val="28"/>
          <w:highlight w:val="white"/>
        </w:rPr>
        <w:t xml:space="preserve">спондентский счет 30101810400000000225.</w:t>
      </w:r>
      <w:r>
        <w:rPr>
          <w:b/>
          <w:color w:val="000000" w:themeColor="text1"/>
          <w:sz w:val="28"/>
          <w:szCs w:val="28"/>
          <w:highlight w:val="white"/>
        </w:rPr>
      </w:r>
      <w:r>
        <w:rPr>
          <w:b/>
          <w:color w:val="000000" w:themeColor="text1"/>
          <w:sz w:val="28"/>
          <w:szCs w:val="28"/>
          <w:highlight w:val="white"/>
        </w:rPr>
      </w:r>
    </w:p>
    <w:p>
      <w:pPr>
        <w:pStyle w:val="940"/>
        <w:ind w:left="0" w:firstLine="709"/>
        <w:spacing w:line="260" w:lineRule="exact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highlight w:val="white"/>
        </w:rPr>
        <w:t xml:space="preserve">до</w:t>
      </w:r>
      <w:r>
        <w:rPr>
          <w:rFonts w:ascii="Times New Roman" w:hAnsi="Times New Roman" w:eastAsiaTheme="majorEastAsia"/>
          <w:b/>
          <w:bCs/>
          <w:color w:val="000000" w:themeColor="text1"/>
          <w:sz w:val="28"/>
          <w:szCs w:val="28"/>
          <w:highlight w:val="white"/>
          <w:lang w:bidi="ru-RU"/>
        </w:rPr>
        <w:t xml:space="preserve"> 23:59 часов (МСК) </w:t>
      </w:r>
      <w:r>
        <w:rPr>
          <w:rFonts w:ascii="Times New Roman" w:hAnsi="Times New Roman" w:eastAsiaTheme="majorEastAsia"/>
          <w:b/>
          <w:bCs/>
          <w:color w:val="000000" w:themeColor="text1"/>
          <w:sz w:val="28"/>
          <w:szCs w:val="28"/>
          <w:highlight w:val="white"/>
          <w:lang w:bidi="ru-RU"/>
        </w:rPr>
        <w:t xml:space="preserve">«10</w:t>
      </w:r>
      <w:r>
        <w:rPr>
          <w:rFonts w:ascii="Times New Roman" w:hAnsi="Times New Roman" w:eastAsiaTheme="majorEastAsia"/>
          <w:b/>
          <w:bCs/>
          <w:color w:val="000000" w:themeColor="text1"/>
          <w:sz w:val="28"/>
          <w:szCs w:val="28"/>
          <w:highlight w:val="white"/>
          <w:lang w:bidi="ru-RU"/>
        </w:rPr>
        <w:t xml:space="preserve">» </w:t>
      </w:r>
      <w:r>
        <w:rPr>
          <w:rFonts w:ascii="Times New Roman" w:hAnsi="Times New Roman" w:eastAsiaTheme="majorEastAsia"/>
          <w:b/>
          <w:bCs/>
          <w:color w:val="000000" w:themeColor="text1"/>
          <w:sz w:val="28"/>
          <w:szCs w:val="28"/>
          <w:highlight w:val="white"/>
          <w:lang w:bidi="ru-RU"/>
        </w:rPr>
        <w:t xml:space="preserve">ноября</w:t>
      </w:r>
      <w:r>
        <w:rPr>
          <w:rFonts w:ascii="Times New Roman" w:hAnsi="Times New Roman" w:eastAsiaTheme="majorEastAsia"/>
          <w:b/>
          <w:bCs/>
          <w:color w:val="000000" w:themeColor="text1"/>
          <w:sz w:val="28"/>
          <w:szCs w:val="28"/>
          <w:highlight w:val="white"/>
          <w:lang w:bidi="ru-RU"/>
        </w:rPr>
        <w:t xml:space="preserve"> 2026 г.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line="260" w:lineRule="exact"/>
        <w:tabs>
          <w:tab w:val="left" w:pos="851" w:leader="none"/>
        </w:tabs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Перечисление денежных средств в качестве задатка (депозита) (ИНН плательщика), НДС не облагается, для участия в продаже краевого имущества на аукционе в электронной форме. Лот №__.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line="260" w:lineRule="exact"/>
        <w:tabs>
          <w:tab w:val="left" w:pos="851" w:leader="none"/>
        </w:tabs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Настоящее Информационное сообщение является публичной офертой </w:t>
      </w:r>
      <w:r>
        <w:rPr>
          <w:color w:val="000000" w:themeColor="text1"/>
          <w:sz w:val="28"/>
          <w:szCs w:val="28"/>
          <w:highlight w:val="white"/>
        </w:rPr>
        <w:br/>
        <w:t xml:space="preserve">для зак</w:t>
      </w:r>
      <w:r>
        <w:rPr>
          <w:color w:val="000000" w:themeColor="text1"/>
          <w:sz w:val="28"/>
          <w:szCs w:val="28"/>
          <w:highlight w:val="white"/>
        </w:rPr>
        <w:t xml:space="preserve">лючения договора о задатке в соответствии со статьей 437 Гражданского кодекса Российской Федерации. Подача претендентом заявки и перечисление задатка на счет являются акцептом такой оферты и договор о задатке считается заключенным в установленном порядке. 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line="260" w:lineRule="exact"/>
        <w:tabs>
          <w:tab w:val="left" w:pos="851" w:leader="none"/>
        </w:tabs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Лицам, перечислившим задаток для участия в аукционе, денежные средства возвращаются в следующем порядке: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line="260" w:lineRule="exact"/>
        <w:tabs>
          <w:tab w:val="left" w:pos="851" w:leader="none"/>
        </w:tabs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а) участникам аукциона, за исключением его победителя либо лица, признанного единственным участником аукциона - в течение пяти дней с даты подведения итогов аукциона;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line="260" w:lineRule="exact"/>
        <w:tabs>
          <w:tab w:val="left" w:pos="851" w:leader="none"/>
        </w:tabs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б) претендентам, не допущенным к участию в аукционе, - в течение </w:t>
      </w:r>
      <w:r>
        <w:rPr>
          <w:color w:val="000000" w:themeColor="text1"/>
          <w:sz w:val="28"/>
          <w:szCs w:val="28"/>
          <w:highlight w:val="white"/>
        </w:rPr>
        <w:br/>
        <w:t xml:space="preserve">5 календарных дней со дня подписания протокола о признании претендентов участниками аукциона;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line="260" w:lineRule="exact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в) претендентам, отозвавшим в установленном порядке заявки до даты окончания приема заявок, - задаток возвращается в течение 5 календарных дней </w:t>
      </w:r>
      <w:r>
        <w:rPr>
          <w:color w:val="000000" w:themeColor="text1"/>
          <w:sz w:val="28"/>
          <w:szCs w:val="28"/>
          <w:highlight w:val="white"/>
        </w:rPr>
        <w:br/>
        <w:t xml:space="preserve">со дня поступления уведомления об отзыве заявки на участие в аукционе. В случае отзыва претендентом заявки позднее дня окончания приема заявок, задаток возвращается в порядке, установленном для претендентов, не допущенных к участию в аукционе.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line="260" w:lineRule="exact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При уклонении или отказе победителя аукциона либо лица, признанного единственным участником аукциона, от заключения в установленный срок договора купли-продажи имущества задаток ему не возвращается, и он утрачивает право </w:t>
      </w:r>
      <w:r>
        <w:rPr>
          <w:color w:val="000000" w:themeColor="text1"/>
          <w:sz w:val="28"/>
          <w:szCs w:val="28"/>
          <w:highlight w:val="white"/>
        </w:rPr>
        <w:br/>
        <w:t xml:space="preserve">на заключение указанного договора.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line="260" w:lineRule="exact"/>
        <w:tabs>
          <w:tab w:val="left" w:pos="1418" w:leader="none"/>
        </w:tabs>
        <w:rPr>
          <w:color w:val="000000" w:themeColor="text1"/>
          <w:sz w:val="28"/>
          <w:szCs w:val="28"/>
          <w:highlight w:val="white"/>
        </w:rPr>
      </w:pPr>
      <w:r>
        <w:rPr>
          <w:b/>
          <w:bCs/>
          <w:color w:val="000000" w:themeColor="text1"/>
          <w:sz w:val="28"/>
          <w:szCs w:val="28"/>
          <w:highlight w:val="white"/>
        </w:rPr>
        <w:t xml:space="preserve">8</w:t>
      </w:r>
      <w:r>
        <w:rPr>
          <w:b/>
          <w:bCs/>
          <w:color w:val="000000" w:themeColor="text1"/>
          <w:sz w:val="28"/>
          <w:szCs w:val="28"/>
          <w:highlight w:val="white"/>
        </w:rPr>
        <w:t xml:space="preserve">. Порядок, дата и время регистрации на сайте в сети «Интернет» претендентов и подачи заявок на участие в аукционе: </w:t>
      </w:r>
      <w:r>
        <w:rPr>
          <w:bCs/>
          <w:color w:val="000000" w:themeColor="text1"/>
          <w:sz w:val="28"/>
          <w:szCs w:val="28"/>
          <w:highlight w:val="white"/>
        </w:rPr>
        <w:t xml:space="preserve">д</w:t>
      </w:r>
      <w:r>
        <w:rPr>
          <w:color w:val="000000" w:themeColor="text1"/>
          <w:sz w:val="28"/>
          <w:szCs w:val="28"/>
          <w:highlight w:val="white"/>
        </w:rPr>
        <w:t xml:space="preserve">ля участия в аукцион</w:t>
      </w:r>
      <w:r>
        <w:rPr>
          <w:color w:val="000000" w:themeColor="text1"/>
          <w:sz w:val="28"/>
          <w:szCs w:val="28"/>
          <w:highlight w:val="white"/>
        </w:rPr>
        <w:t xml:space="preserve">е претенденты должны зарегистрироваться на сайте http://utp.sberbank-ast.ru в сети «Интернет» в порядке, установленном Регламентом торговой секции «Приватизация, аренда и продажа прав» универсальной торговой платформы АО «Сбербанк-АСТ», без взимания платы.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895"/>
        <w:ind w:firstLine="709"/>
        <w:jc w:val="both"/>
        <w:spacing w:line="260" w:lineRule="exact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Регистрации на электронной площадке подлежат претенденты, ранее </w:t>
      </w:r>
      <w:r>
        <w:rPr>
          <w:color w:val="000000" w:themeColor="text1"/>
          <w:sz w:val="28"/>
          <w:szCs w:val="28"/>
          <w:highlight w:val="white"/>
        </w:rPr>
        <w:br/>
        <w:t xml:space="preserve">не зарегистрированные на электронной площадке, или регистрация которых </w:t>
      </w:r>
      <w:r>
        <w:rPr>
          <w:color w:val="000000" w:themeColor="text1"/>
          <w:sz w:val="28"/>
          <w:szCs w:val="28"/>
          <w:highlight w:val="white"/>
        </w:rPr>
        <w:br/>
        <w:t xml:space="preserve">на электронной площадке была ими прекращена.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line="260" w:lineRule="exact"/>
        <w:widowControl w:val="off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Организатор обеспечивает возможность регистрации претендентов </w:t>
      </w:r>
      <w:r>
        <w:rPr>
          <w:color w:val="000000" w:themeColor="text1"/>
          <w:sz w:val="28"/>
          <w:szCs w:val="28"/>
          <w:highlight w:val="white"/>
        </w:rPr>
        <w:br/>
        <w:t xml:space="preserve">на электронной площадке, ввод ими идентифицирующих данных (имя пользователя и пароль) и возможность изменения пароля, открывает раздел, доступ к которому имеют только продавец и участники (закрытая часть электронной площадки).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895"/>
        <w:ind w:firstLine="709"/>
        <w:jc w:val="both"/>
        <w:spacing w:line="260" w:lineRule="exact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Инструкция для участников торгов по работе в торговой секции «Приватизация, аренда и продажа прав» универсальной торговой платформы </w:t>
      </w:r>
      <w:r>
        <w:rPr>
          <w:color w:val="000000" w:themeColor="text1"/>
          <w:sz w:val="28"/>
          <w:szCs w:val="28"/>
          <w:highlight w:val="white"/>
        </w:rPr>
        <w:br/>
        <w:t xml:space="preserve">АО «Сбербанк-АСТ» размещена по адресу: </w:t>
      </w:r>
      <w:hyperlink r:id="rId10" w:tooltip="http://utp.sberbank-ast.ru/AP/Notice/652/Instructions" w:history="1">
        <w:r>
          <w:rPr>
            <w:rStyle w:val="889"/>
            <w:rFonts w:eastAsia="Arial"/>
            <w:color w:val="000000" w:themeColor="text1"/>
            <w:sz w:val="28"/>
            <w:szCs w:val="28"/>
            <w:highlight w:val="white"/>
          </w:rPr>
          <w:t xml:space="preserve">http://utp.sberbank-ast.ru/AP/Notice/652/Instructions</w:t>
        </w:r>
      </w:hyperlink>
      <w:r>
        <w:rPr>
          <w:rStyle w:val="889"/>
          <w:color w:val="000000" w:themeColor="text1"/>
          <w:sz w:val="28"/>
          <w:szCs w:val="28"/>
          <w:highlight w:val="white"/>
          <w:u w:val="none"/>
        </w:rPr>
        <w:t xml:space="preserve">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895"/>
        <w:ind w:firstLine="709"/>
        <w:jc w:val="both"/>
        <w:spacing w:line="260" w:lineRule="exact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Документооборот между претендентами, участниками, оператором электронной площадки и продавцом осуществляется через электронную площадку </w:t>
      </w:r>
      <w:r>
        <w:rPr>
          <w:color w:val="000000" w:themeColor="text1"/>
          <w:sz w:val="28"/>
          <w:szCs w:val="28"/>
          <w:highlight w:val="white"/>
        </w:rPr>
        <w:br/>
        <w:t xml:space="preserve">в форме электронных документов либо электронных образов документов (документов на бумажном носителе, пре</w:t>
      </w:r>
      <w:r>
        <w:rPr>
          <w:color w:val="000000" w:themeColor="text1"/>
          <w:sz w:val="28"/>
          <w:szCs w:val="28"/>
          <w:highlight w:val="white"/>
        </w:rPr>
        <w:t xml:space="preserve">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895"/>
        <w:ind w:firstLine="709"/>
        <w:jc w:val="both"/>
        <w:spacing w:line="260" w:lineRule="exact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Прием заявок и прилагаемых к ним документов начинается с даты и времени, указанных в настоящем Информационном сообщении.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895"/>
        <w:ind w:firstLine="709"/>
        <w:jc w:val="both"/>
        <w:spacing w:line="260" w:lineRule="exact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Подача заявки на участие в аукционе осуществляется претендентом, зареги</w:t>
      </w:r>
      <w:r>
        <w:rPr>
          <w:color w:val="000000" w:themeColor="text1"/>
          <w:sz w:val="28"/>
          <w:szCs w:val="28"/>
          <w:highlight w:val="white"/>
        </w:rPr>
        <w:t xml:space="preserve">стрированным на сайте в сети «Интернет», указанном в настоящем Информационном сообщении, из «личного кабинета» посредством штатного интерфейса электронной площадки АО «Единая электронная торговая площадка» торговой секции «Приватизация и аренда имущества».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line="260" w:lineRule="exact"/>
        <w:tabs>
          <w:tab w:val="left" w:pos="1418" w:leader="none"/>
        </w:tabs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Заявка подается путем заполнения ее электронной формы, размещенной </w:t>
      </w:r>
      <w:r>
        <w:rPr>
          <w:color w:val="000000" w:themeColor="text1"/>
          <w:sz w:val="28"/>
          <w:szCs w:val="28"/>
          <w:highlight w:val="white"/>
        </w:rPr>
        <w:br/>
        <w:t xml:space="preserve">в открытой для доступа неограниченного круга лиц части электронной площадки (</w:t>
      </w:r>
      <w:r>
        <w:rPr>
          <w:color w:val="000000" w:themeColor="text1"/>
          <w:sz w:val="28"/>
          <w:szCs w:val="28"/>
          <w:highlight w:val="white"/>
        </w:rPr>
        <w:t xml:space="preserve">открытая часть электронной площадки), с приложением электронных документов в соответствии с перечнем, приведенным в настоящем Информационном сообщении, заверенных электронной подписью претендента либо лица, имеющего право действовать от имени претендента: 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895"/>
        <w:ind w:firstLine="709"/>
        <w:jc w:val="both"/>
        <w:spacing w:line="260" w:lineRule="exact"/>
        <w:rPr>
          <w:b/>
          <w:color w:val="000000" w:themeColor="text1"/>
          <w:sz w:val="28"/>
          <w:szCs w:val="28"/>
          <w:highlight w:val="white"/>
        </w:rPr>
      </w:pPr>
      <w:r>
        <w:rPr>
          <w:b/>
          <w:color w:val="000000" w:themeColor="text1"/>
          <w:sz w:val="28"/>
          <w:szCs w:val="28"/>
          <w:highlight w:val="white"/>
        </w:rPr>
        <w:t xml:space="preserve">физические лица:</w:t>
      </w:r>
      <w:r>
        <w:rPr>
          <w:b/>
          <w:color w:val="000000" w:themeColor="text1"/>
          <w:sz w:val="28"/>
          <w:szCs w:val="28"/>
          <w:highlight w:val="white"/>
        </w:rPr>
      </w:r>
      <w:r>
        <w:rPr>
          <w:b/>
          <w:color w:val="000000" w:themeColor="text1"/>
          <w:sz w:val="28"/>
          <w:szCs w:val="28"/>
          <w:highlight w:val="white"/>
        </w:rPr>
      </w:r>
    </w:p>
    <w:p>
      <w:pPr>
        <w:pStyle w:val="895"/>
        <w:ind w:firstLine="709"/>
        <w:jc w:val="both"/>
        <w:spacing w:line="260" w:lineRule="exact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- копии всех листов документа, удостоверяющего личность;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895"/>
        <w:ind w:firstLine="709"/>
        <w:jc w:val="both"/>
        <w:spacing w:line="260" w:lineRule="exact"/>
        <w:rPr>
          <w:b/>
          <w:color w:val="000000" w:themeColor="text1"/>
          <w:sz w:val="28"/>
          <w:szCs w:val="28"/>
          <w:highlight w:val="white"/>
        </w:rPr>
      </w:pPr>
      <w:r>
        <w:rPr>
          <w:b/>
          <w:color w:val="000000" w:themeColor="text1"/>
          <w:sz w:val="28"/>
          <w:szCs w:val="28"/>
          <w:highlight w:val="white"/>
        </w:rPr>
        <w:t xml:space="preserve">юридические лица:</w:t>
      </w:r>
      <w:r>
        <w:rPr>
          <w:b/>
          <w:color w:val="000000" w:themeColor="text1"/>
          <w:sz w:val="28"/>
          <w:szCs w:val="28"/>
          <w:highlight w:val="white"/>
        </w:rPr>
      </w:r>
      <w:r>
        <w:rPr>
          <w:b/>
          <w:color w:val="000000" w:themeColor="text1"/>
          <w:sz w:val="28"/>
          <w:szCs w:val="28"/>
          <w:highlight w:val="white"/>
        </w:rPr>
      </w:r>
    </w:p>
    <w:p>
      <w:pPr>
        <w:pStyle w:val="895"/>
        <w:ind w:firstLine="709"/>
        <w:jc w:val="both"/>
        <w:spacing w:line="260" w:lineRule="exact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- </w:t>
      </w:r>
      <w:r>
        <w:rPr>
          <w:bCs/>
          <w:color w:val="000000" w:themeColor="text1"/>
          <w:sz w:val="28"/>
          <w:szCs w:val="28"/>
          <w:highlight w:val="white"/>
        </w:rPr>
        <w:t xml:space="preserve">заверенные копии учредительных документов</w:t>
      </w:r>
      <w:r>
        <w:rPr>
          <w:color w:val="000000" w:themeColor="text1"/>
          <w:sz w:val="28"/>
          <w:szCs w:val="28"/>
          <w:highlight w:val="white"/>
        </w:rPr>
        <w:t xml:space="preserve">; 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895"/>
        <w:ind w:firstLine="709"/>
        <w:jc w:val="both"/>
        <w:spacing w:line="260" w:lineRule="exact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- документ, содержащий сведения о доле Российской Фед</w:t>
      </w:r>
      <w:r>
        <w:rPr>
          <w:color w:val="000000" w:themeColor="text1"/>
          <w:sz w:val="28"/>
          <w:szCs w:val="28"/>
          <w:highlight w:val="white"/>
        </w:rPr>
        <w:t xml:space="preserve">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 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895"/>
        <w:ind w:firstLine="709"/>
        <w:jc w:val="both"/>
        <w:spacing w:line="260" w:lineRule="exact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- документ, который подтверждает полномочия руководителя юридического лица на осуществление действий от имени юридического лица (копия решения </w:t>
      </w:r>
      <w:r>
        <w:rPr>
          <w:color w:val="000000" w:themeColor="text1"/>
          <w:sz w:val="28"/>
          <w:szCs w:val="28"/>
          <w:highlight w:val="white"/>
        </w:rPr>
        <w:br/>
        <w:t xml:space="preserve">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895"/>
        <w:ind w:firstLine="709"/>
        <w:jc w:val="both"/>
        <w:spacing w:line="260" w:lineRule="exact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В случае, если от имени претендента действует его представитель по доверенности, к заявке должна быть приложена доверенность на осуществление действий от имени претендента, оформленная в установленном порядке, или нотариальн</w:t>
      </w:r>
      <w:r>
        <w:rPr>
          <w:color w:val="000000" w:themeColor="text1"/>
          <w:sz w:val="28"/>
          <w:szCs w:val="28"/>
          <w:highlight w:val="white"/>
        </w:rPr>
        <w:t xml:space="preserve">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895"/>
        <w:ind w:firstLine="709"/>
        <w:jc w:val="both"/>
        <w:spacing w:line="260" w:lineRule="exact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Наличие электронной подписи означает, что документы и сведения, поданные в форме электронных документов, направлены от имени претендента и отправитель несет ответственность за подлинность и достоверность таких документов и сведений.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895"/>
        <w:ind w:firstLine="709"/>
        <w:jc w:val="both"/>
        <w:spacing w:line="260" w:lineRule="exact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Одно лицо имеет право подать только одну заявку на один объект приватизации.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895"/>
        <w:ind w:firstLine="709"/>
        <w:jc w:val="both"/>
        <w:spacing w:line="260" w:lineRule="exact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Заявка должна соответствовать требованиям Продавца.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895"/>
        <w:ind w:firstLine="709"/>
        <w:jc w:val="both"/>
        <w:spacing w:line="260" w:lineRule="exact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Организатор обеспечивает подачу претен</w:t>
      </w:r>
      <w:r>
        <w:rPr>
          <w:color w:val="000000" w:themeColor="text1"/>
          <w:sz w:val="28"/>
          <w:szCs w:val="28"/>
          <w:highlight w:val="white"/>
        </w:rPr>
        <w:t xml:space="preserve">дентами заявок при условии заполнения ими всех полей, принятие и регистрацию в электронных журналах заявок и прилагаемых к ним документов (в журнале приема заявок). Каждой заявке присваивается номер с указанием даты и времени приема. В течение одного часа </w:t>
      </w:r>
      <w:r>
        <w:rPr>
          <w:color w:val="000000" w:themeColor="text1"/>
          <w:sz w:val="28"/>
          <w:szCs w:val="28"/>
          <w:highlight w:val="white"/>
        </w:rPr>
        <w:br/>
        <w:t xml:space="preserve">со времени поступления заявки Организатор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895"/>
        <w:ind w:firstLine="709"/>
        <w:jc w:val="both"/>
        <w:spacing w:line="260" w:lineRule="exact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Организатор обеспечивает конфиденциальность сведений о поступивших заявках и прилагаемых к ним документах, а также сведений о лицах, подавших заявки, до момента размещения на электронной площадке информации об итогах приема заявок (определения участников).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895"/>
        <w:ind w:firstLine="709"/>
        <w:jc w:val="both"/>
        <w:spacing w:line="260" w:lineRule="exact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Претендент вправе не позднее дня окончания приема заявок отозвать заявку путем направления уведомления об отзыве заявки на электронную площадку. Уведомление об отзыве заявки вместе с заявкой в течение одного часа поступает </w:t>
      </w:r>
      <w:r>
        <w:rPr>
          <w:color w:val="000000" w:themeColor="text1"/>
          <w:sz w:val="28"/>
          <w:szCs w:val="28"/>
          <w:highlight w:val="white"/>
        </w:rPr>
        <w:br/>
        <w:t xml:space="preserve">в «личный кабинет» Продавца, о чем претенденту направляется соответствующее уведомление.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895"/>
        <w:ind w:firstLine="709"/>
        <w:jc w:val="both"/>
        <w:spacing w:line="260" w:lineRule="exact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Организатор обеспечивает прекращение подачи заявок по истечении срока </w:t>
      </w:r>
      <w:r>
        <w:rPr>
          <w:color w:val="000000" w:themeColor="text1"/>
          <w:sz w:val="28"/>
          <w:szCs w:val="28"/>
          <w:highlight w:val="white"/>
        </w:rPr>
        <w:br/>
        <w:t xml:space="preserve">их приема, указанного в настоящем Информационном сообщении.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895"/>
        <w:ind w:firstLine="709"/>
        <w:jc w:val="both"/>
        <w:spacing w:line="260" w:lineRule="exact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Заявки с прилагаемыми к ним документами, поданные с нарушением установленного срока, на электронной площадке не регистрируются.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line="260" w:lineRule="exact"/>
        <w:widowControl w:val="off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Комиссия по проведению продажи государственного краевого имущества </w:t>
      </w:r>
      <w:r>
        <w:rPr>
          <w:color w:val="000000" w:themeColor="text1"/>
          <w:sz w:val="28"/>
          <w:szCs w:val="28"/>
          <w:highlight w:val="white"/>
        </w:rPr>
        <w:br/>
        <w:t xml:space="preserve">в порядке приватизации вправе продлить срок подачи заявок на участие в аукционе </w:t>
      </w:r>
      <w:r>
        <w:rPr>
          <w:color w:val="000000" w:themeColor="text1"/>
          <w:sz w:val="28"/>
          <w:szCs w:val="28"/>
          <w:highlight w:val="white"/>
        </w:rPr>
        <w:br/>
        <w:t xml:space="preserve">и перенести принятие решения о победителе на другую дату, а также принять решение об отказе от проведения аукциона.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line="260" w:lineRule="exact"/>
        <w:rPr>
          <w:color w:val="000000" w:themeColor="text1"/>
          <w:sz w:val="28"/>
          <w:szCs w:val="28"/>
          <w:highlight w:val="white"/>
        </w:rPr>
      </w:pPr>
      <w:r>
        <w:rPr>
          <w:b/>
          <w:bCs/>
          <w:color w:val="000000" w:themeColor="text1"/>
          <w:sz w:val="28"/>
          <w:szCs w:val="28"/>
          <w:highlight w:val="white"/>
        </w:rPr>
        <w:t xml:space="preserve">9</w:t>
      </w:r>
      <w:r>
        <w:rPr>
          <w:b/>
          <w:bCs/>
          <w:color w:val="000000" w:themeColor="text1"/>
          <w:sz w:val="28"/>
          <w:szCs w:val="28"/>
          <w:highlight w:val="white"/>
        </w:rPr>
        <w:t xml:space="preserve">. Место, даты и время</w:t>
      </w:r>
      <w:r>
        <w:rPr>
          <w:b/>
          <w:color w:val="000000" w:themeColor="text1"/>
          <w:sz w:val="28"/>
          <w:szCs w:val="28"/>
          <w:highlight w:val="white"/>
        </w:rPr>
        <w:t xml:space="preserve"> начала и окончания подачи заявок и проведения аукциона: </w:t>
      </w:r>
      <w:r>
        <w:rPr>
          <w:color w:val="000000" w:themeColor="text1"/>
          <w:sz w:val="28"/>
          <w:szCs w:val="28"/>
          <w:highlight w:val="white"/>
        </w:rPr>
        <w:t xml:space="preserve">при исчислении сроков, указанных в настоящем Информационном сообщении, принимается время сервера электронной торговой площадки - московское.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spacing w:line="260" w:lineRule="exact"/>
        <w:widowControl w:val="off"/>
        <w:rPr>
          <w:b/>
          <w:color w:val="000000" w:themeColor="text1"/>
          <w:sz w:val="28"/>
          <w:szCs w:val="28"/>
          <w:highlight w:val="white"/>
        </w:rPr>
      </w:pPr>
      <w:r>
        <w:rPr>
          <w:b/>
          <w:color w:val="000000" w:themeColor="text1"/>
          <w:sz w:val="28"/>
          <w:szCs w:val="28"/>
          <w:highlight w:val="white"/>
        </w:rPr>
        <w:t xml:space="preserve">Дата и время начала подачи заявок</w:t>
      </w:r>
      <w:r>
        <w:rPr>
          <w:color w:val="000000" w:themeColor="text1"/>
          <w:sz w:val="28"/>
          <w:szCs w:val="28"/>
          <w:highlight w:val="white"/>
        </w:rPr>
        <w:t xml:space="preserve"> на участие в аукционе: </w:t>
      </w:r>
      <w:r>
        <w:rPr>
          <w:color w:val="000000" w:themeColor="text1"/>
          <w:sz w:val="28"/>
          <w:szCs w:val="28"/>
          <w:highlight w:val="white"/>
        </w:rPr>
        <w:br/>
      </w:r>
      <w:r>
        <w:rPr>
          <w:b/>
          <w:bCs/>
          <w:color w:val="000000" w:themeColor="text1"/>
          <w:sz w:val="28"/>
          <w:szCs w:val="28"/>
          <w:highlight w:val="white"/>
        </w:rPr>
        <w:t xml:space="preserve">14</w:t>
      </w:r>
      <w:r>
        <w:rPr>
          <w:b/>
          <w:bCs/>
          <w:color w:val="000000" w:themeColor="text1"/>
          <w:sz w:val="28"/>
          <w:szCs w:val="28"/>
          <w:highlight w:val="white"/>
        </w:rPr>
        <w:t xml:space="preserve"> октября</w:t>
      </w:r>
      <w:r>
        <w:rPr>
          <w:b/>
          <w:bCs/>
          <w:color w:val="000000" w:themeColor="text1"/>
          <w:sz w:val="28"/>
          <w:szCs w:val="28"/>
          <w:highlight w:val="white"/>
        </w:rPr>
        <w:t xml:space="preserve"> 202</w:t>
      </w:r>
      <w:r>
        <w:rPr>
          <w:b/>
          <w:color w:val="000000" w:themeColor="text1"/>
          <w:sz w:val="28"/>
          <w:szCs w:val="28"/>
          <w:highlight w:val="white"/>
        </w:rPr>
        <w:t xml:space="preserve">6</w:t>
      </w:r>
      <w:r>
        <w:rPr>
          <w:b/>
          <w:color w:val="000000" w:themeColor="text1"/>
          <w:sz w:val="28"/>
          <w:szCs w:val="28"/>
          <w:highlight w:val="white"/>
        </w:rPr>
        <w:t xml:space="preserve"> г.</w:t>
      </w:r>
      <w:r>
        <w:rPr>
          <w:color w:val="000000" w:themeColor="text1"/>
          <w:sz w:val="28"/>
          <w:szCs w:val="28"/>
          <w:highlight w:val="white"/>
        </w:rPr>
        <w:t xml:space="preserve">,</w:t>
      </w:r>
      <w:r>
        <w:rPr>
          <w:b/>
          <w:color w:val="000000" w:themeColor="text1"/>
          <w:sz w:val="28"/>
          <w:szCs w:val="28"/>
          <w:highlight w:val="white"/>
        </w:rPr>
        <w:t xml:space="preserve"> </w:t>
      </w:r>
      <w:r>
        <w:rPr>
          <w:b/>
          <w:color w:val="000000" w:themeColor="text1"/>
          <w:sz w:val="28"/>
          <w:szCs w:val="28"/>
          <w:highlight w:val="white"/>
        </w:rPr>
        <w:t xml:space="preserve">0</w:t>
      </w:r>
      <w:r>
        <w:rPr>
          <w:b/>
          <w:color w:val="000000" w:themeColor="text1"/>
          <w:sz w:val="28"/>
          <w:szCs w:val="28"/>
          <w:highlight w:val="white"/>
        </w:rPr>
        <w:t xml:space="preserve">0</w:t>
      </w:r>
      <w:r>
        <w:rPr>
          <w:b/>
          <w:color w:val="000000" w:themeColor="text1"/>
          <w:sz w:val="28"/>
          <w:szCs w:val="28"/>
          <w:highlight w:val="white"/>
        </w:rPr>
        <w:t xml:space="preserve">.00 час. (московское время)</w:t>
      </w:r>
      <w:r>
        <w:rPr>
          <w:b/>
          <w:color w:val="000000" w:themeColor="text1"/>
          <w:sz w:val="28"/>
          <w:szCs w:val="28"/>
          <w:highlight w:val="white"/>
        </w:rPr>
      </w:r>
      <w:r>
        <w:rPr>
          <w:b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line="260" w:lineRule="exact"/>
        <w:widowControl w:val="off"/>
        <w:rPr>
          <w:color w:val="000000" w:themeColor="text1"/>
          <w:sz w:val="28"/>
          <w:szCs w:val="28"/>
          <w:highlight w:val="white"/>
        </w:rPr>
      </w:pPr>
      <w:r>
        <w:rPr>
          <w:b/>
          <w:color w:val="000000" w:themeColor="text1"/>
          <w:sz w:val="28"/>
          <w:szCs w:val="28"/>
          <w:highlight w:val="white"/>
        </w:rPr>
        <w:t xml:space="preserve">Дата и время окончания подачи заявок</w:t>
      </w:r>
      <w:r>
        <w:rPr>
          <w:color w:val="000000" w:themeColor="text1"/>
          <w:sz w:val="28"/>
          <w:szCs w:val="28"/>
          <w:highlight w:val="white"/>
        </w:rPr>
        <w:t xml:space="preserve"> на участие в аукционе: </w:t>
      </w:r>
      <w:r>
        <w:rPr>
          <w:color w:val="000000" w:themeColor="text1"/>
          <w:sz w:val="28"/>
          <w:szCs w:val="28"/>
          <w:highlight w:val="white"/>
        </w:rPr>
        <w:br/>
      </w:r>
      <w:r>
        <w:rPr>
          <w:b/>
          <w:color w:val="000000" w:themeColor="text1"/>
          <w:sz w:val="28"/>
          <w:szCs w:val="28"/>
          <w:highlight w:val="white"/>
        </w:rPr>
        <w:t xml:space="preserve">09</w:t>
      </w:r>
      <w:r>
        <w:rPr>
          <w:b/>
          <w:color w:val="000000" w:themeColor="text1"/>
          <w:sz w:val="28"/>
          <w:szCs w:val="28"/>
          <w:highlight w:val="white"/>
        </w:rPr>
        <w:t xml:space="preserve"> </w:t>
      </w:r>
      <w:r>
        <w:rPr>
          <w:b/>
          <w:color w:val="000000" w:themeColor="text1"/>
          <w:sz w:val="28"/>
          <w:szCs w:val="28"/>
          <w:highlight w:val="white"/>
        </w:rPr>
        <w:t xml:space="preserve">ноя</w:t>
      </w:r>
      <w:r>
        <w:rPr>
          <w:b/>
          <w:color w:val="000000" w:themeColor="text1"/>
          <w:sz w:val="28"/>
          <w:szCs w:val="28"/>
          <w:highlight w:val="white"/>
        </w:rPr>
        <w:t xml:space="preserve">бря</w:t>
      </w:r>
      <w:r>
        <w:rPr>
          <w:b/>
          <w:color w:val="000000" w:themeColor="text1"/>
          <w:sz w:val="28"/>
          <w:szCs w:val="28"/>
          <w:highlight w:val="white"/>
        </w:rPr>
        <w:t xml:space="preserve"> 2026 г., 00.00 час. (московское время)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line="260" w:lineRule="exact"/>
        <w:rPr>
          <w:color w:val="000000" w:themeColor="text1"/>
          <w:sz w:val="28"/>
          <w:szCs w:val="28"/>
          <w:highlight w:val="white"/>
        </w:rPr>
      </w:pPr>
      <w:r>
        <w:rPr>
          <w:b/>
          <w:color w:val="000000" w:themeColor="text1"/>
          <w:sz w:val="28"/>
          <w:szCs w:val="28"/>
          <w:highlight w:val="white"/>
        </w:rPr>
        <w:t xml:space="preserve">Место подачи заявок:</w:t>
      </w:r>
      <w:r>
        <w:rPr>
          <w:color w:val="000000" w:themeColor="text1"/>
          <w:sz w:val="28"/>
          <w:szCs w:val="28"/>
          <w:highlight w:val="white"/>
        </w:rPr>
        <w:t xml:space="preserve"> электронная площадка – универсальная торговая платформа АО «Сбербанк-АСТ», размещенная на сайте http://utp.sberbank-ast.ru </w:t>
      </w:r>
      <w:r>
        <w:rPr>
          <w:color w:val="000000" w:themeColor="text1"/>
          <w:sz w:val="28"/>
          <w:szCs w:val="28"/>
          <w:highlight w:val="white"/>
        </w:rPr>
        <w:br/>
        <w:t xml:space="preserve">в сети «Интернет» (торговая секция «Приватизация, аренда и продажа прав»).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line="260" w:lineRule="exact"/>
        <w:tabs>
          <w:tab w:val="left" w:pos="1418" w:leader="none"/>
        </w:tabs>
        <w:rPr>
          <w:b/>
          <w:color w:val="000000" w:themeColor="text1"/>
          <w:sz w:val="28"/>
          <w:szCs w:val="28"/>
          <w:highlight w:val="white"/>
        </w:rPr>
      </w:pPr>
      <w:r>
        <w:rPr>
          <w:b/>
          <w:color w:val="000000" w:themeColor="text1"/>
          <w:sz w:val="28"/>
          <w:szCs w:val="28"/>
          <w:highlight w:val="white"/>
        </w:rPr>
        <w:t xml:space="preserve">Дата рассмотрения заявок и признания претендентов участниками аукциона: 11</w:t>
      </w:r>
      <w:r>
        <w:rPr>
          <w:b/>
          <w:color w:val="000000" w:themeColor="text1"/>
          <w:sz w:val="28"/>
          <w:szCs w:val="28"/>
          <w:highlight w:val="white"/>
        </w:rPr>
        <w:t xml:space="preserve"> ноября</w:t>
      </w:r>
      <w:r>
        <w:rPr>
          <w:b/>
          <w:color w:val="000000" w:themeColor="text1"/>
          <w:sz w:val="28"/>
          <w:szCs w:val="28"/>
          <w:highlight w:val="white"/>
        </w:rPr>
        <w:t xml:space="preserve"> 2026 г.</w:t>
      </w:r>
      <w:r>
        <w:rPr>
          <w:b/>
          <w:color w:val="000000" w:themeColor="text1"/>
          <w:sz w:val="28"/>
          <w:szCs w:val="28"/>
          <w:highlight w:val="white"/>
        </w:rPr>
      </w:r>
      <w:r>
        <w:rPr>
          <w:b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line="260" w:lineRule="exact"/>
        <w:tabs>
          <w:tab w:val="left" w:pos="1418" w:leader="none"/>
        </w:tabs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Не позднее следующего рабочего дня после дня подписания протокола </w:t>
      </w:r>
      <w:r>
        <w:rPr>
          <w:color w:val="000000" w:themeColor="text1"/>
          <w:sz w:val="28"/>
          <w:szCs w:val="28"/>
          <w:highlight w:val="white"/>
        </w:rPr>
        <w:br/>
        <w:t xml:space="preserve">о признании претендентов участниками аукциона всем претендентам, подавшим заявки, направляется уведомление о признании их участниками аукциона </w:t>
      </w:r>
      <w:r>
        <w:rPr>
          <w:color w:val="000000" w:themeColor="text1"/>
          <w:sz w:val="28"/>
          <w:szCs w:val="28"/>
          <w:highlight w:val="white"/>
        </w:rPr>
        <w:br/>
        <w:t xml:space="preserve">или об отказе в признании участниками аукциона с указанием оснований отказа. 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line="260" w:lineRule="exact"/>
        <w:tabs>
          <w:tab w:val="left" w:pos="1418" w:leader="none"/>
        </w:tabs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Организатор обеспечивает уведомление претендентов о принятом Продавцом решении о признании их участниками либо отказе в доступе к участию в продаже имущества.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line="260" w:lineRule="exact"/>
        <w:rPr>
          <w:b/>
          <w:color w:val="000000" w:themeColor="text1"/>
          <w:sz w:val="28"/>
          <w:szCs w:val="28"/>
          <w:highlight w:val="white"/>
        </w:rPr>
      </w:pPr>
      <w:r>
        <w:rPr>
          <w:b/>
          <w:color w:val="000000" w:themeColor="text1"/>
          <w:sz w:val="28"/>
          <w:szCs w:val="28"/>
          <w:highlight w:val="white"/>
        </w:rPr>
        <w:t xml:space="preserve">Дата и время проведения аукциона: 13</w:t>
      </w:r>
      <w:r>
        <w:rPr>
          <w:b/>
          <w:color w:val="000000" w:themeColor="text1"/>
          <w:sz w:val="28"/>
          <w:szCs w:val="28"/>
          <w:highlight w:val="white"/>
        </w:rPr>
        <w:t xml:space="preserve"> ноября</w:t>
      </w:r>
      <w:r>
        <w:rPr>
          <w:b/>
          <w:color w:val="000000" w:themeColor="text1"/>
          <w:sz w:val="28"/>
          <w:szCs w:val="28"/>
          <w:highlight w:val="white"/>
        </w:rPr>
        <w:t xml:space="preserve"> 2026 г., </w:t>
      </w:r>
      <w:r>
        <w:rPr>
          <w:b/>
          <w:color w:val="000000" w:themeColor="text1"/>
          <w:sz w:val="28"/>
          <w:szCs w:val="28"/>
          <w:highlight w:val="white"/>
        </w:rPr>
        <w:t xml:space="preserve">07</w:t>
      </w:r>
      <w:r>
        <w:rPr>
          <w:b/>
          <w:color w:val="000000" w:themeColor="text1"/>
          <w:sz w:val="28"/>
          <w:szCs w:val="28"/>
          <w:highlight w:val="white"/>
        </w:rPr>
        <w:t xml:space="preserve">.00 час. (московское время).</w:t>
      </w:r>
      <w:r>
        <w:rPr>
          <w:b/>
          <w:color w:val="000000" w:themeColor="text1"/>
          <w:sz w:val="28"/>
          <w:szCs w:val="28"/>
          <w:highlight w:val="white"/>
        </w:rPr>
      </w:r>
      <w:r>
        <w:rPr>
          <w:b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line="260" w:lineRule="exact"/>
        <w:rPr>
          <w:color w:val="000000" w:themeColor="text1"/>
          <w:sz w:val="28"/>
          <w:szCs w:val="28"/>
          <w:highlight w:val="white"/>
        </w:rPr>
      </w:pPr>
      <w:r>
        <w:rPr>
          <w:bCs/>
          <w:color w:val="000000" w:themeColor="text1"/>
          <w:sz w:val="28"/>
          <w:szCs w:val="28"/>
          <w:highlight w:val="white"/>
        </w:rPr>
        <w:t xml:space="preserve">Согласно законодательству о приватизации, </w:t>
      </w:r>
      <w:r>
        <w:rPr>
          <w:color w:val="000000" w:themeColor="text1"/>
          <w:sz w:val="28"/>
          <w:szCs w:val="28"/>
          <w:highlight w:val="white"/>
        </w:rPr>
        <w:t xml:space="preserve">в случае, если заявку на участие </w:t>
      </w:r>
      <w:r>
        <w:rPr>
          <w:color w:val="000000" w:themeColor="text1"/>
          <w:sz w:val="28"/>
          <w:szCs w:val="28"/>
          <w:highlight w:val="white"/>
        </w:rPr>
        <w:br/>
        <w:t xml:space="preserve">в аукционе подало только одно лицо, признанное единственным участником аукциона, договор заключается с таким лицом по начальной цене продажи государственного или муниципального имущества.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line="260" w:lineRule="exact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В случае отказа лица, признанного единственным участником аукциона, </w:t>
      </w:r>
      <w:r>
        <w:rPr>
          <w:color w:val="000000" w:themeColor="text1"/>
          <w:sz w:val="28"/>
          <w:szCs w:val="28"/>
          <w:highlight w:val="white"/>
        </w:rPr>
        <w:br/>
        <w:t xml:space="preserve">от заключения договора аукцион признается несостоявшимся.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line="260" w:lineRule="exact"/>
        <w:rPr>
          <w:color w:val="000000" w:themeColor="text1"/>
          <w:sz w:val="28"/>
          <w:szCs w:val="28"/>
          <w:highlight w:val="white"/>
        </w:rPr>
      </w:pPr>
      <w:r>
        <w:rPr>
          <w:b/>
          <w:color w:val="000000" w:themeColor="text1"/>
          <w:sz w:val="28"/>
          <w:szCs w:val="28"/>
          <w:highlight w:val="white"/>
        </w:rPr>
        <w:t xml:space="preserve">Место проведения аукциона и подведения итогов: </w:t>
      </w:r>
      <w:r>
        <w:rPr>
          <w:color w:val="000000" w:themeColor="text1"/>
          <w:sz w:val="28"/>
          <w:szCs w:val="28"/>
          <w:highlight w:val="white"/>
        </w:rPr>
        <w:t xml:space="preserve">электронная площадка – универсальная торговая платформа АО «Сбербанк-АСТ», размещенная на сайте http://utp.sberbank-ast.ru в сети «Интернет» (торговая секция «Приватизация, аренда и продажа прав»)</w:t>
      </w:r>
      <w:r>
        <w:rPr>
          <w:color w:val="000000" w:themeColor="text1"/>
          <w:sz w:val="28"/>
          <w:szCs w:val="28"/>
          <w:highlight w:val="white"/>
        </w:rPr>
        <w:t xml:space="preserve">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line="260" w:lineRule="exact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Организатор обеспечивает равный доступ участников к процедуре продажи имущества.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line="260" w:lineRule="exact"/>
        <w:tabs>
          <w:tab w:val="left" w:pos="1418" w:leader="none"/>
        </w:tabs>
        <w:rPr>
          <w:color w:val="000000" w:themeColor="text1"/>
          <w:sz w:val="28"/>
          <w:szCs w:val="28"/>
          <w:highlight w:val="white"/>
        </w:rPr>
      </w:pPr>
      <w:r>
        <w:rPr>
          <w:b/>
          <w:color w:val="000000" w:themeColor="text1"/>
          <w:sz w:val="28"/>
          <w:szCs w:val="28"/>
          <w:highlight w:val="white"/>
        </w:rPr>
        <w:t xml:space="preserve">10</w:t>
      </w:r>
      <w:r>
        <w:rPr>
          <w:b/>
          <w:color w:val="000000" w:themeColor="text1"/>
          <w:sz w:val="28"/>
          <w:szCs w:val="28"/>
          <w:highlight w:val="white"/>
        </w:rPr>
        <w:t xml:space="preserve">. Правила проведения аукциона и определения победителя: </w:t>
      </w:r>
      <w:r>
        <w:rPr>
          <w:color w:val="000000" w:themeColor="text1"/>
          <w:sz w:val="28"/>
          <w:szCs w:val="28"/>
          <w:highlight w:val="white"/>
        </w:rPr>
        <w:t xml:space="preserve">аукцион проводится в день и время, указанные в Информационном сообщении о проведении аукциона, путем последовательного повышения участниками начальной цены продажи на величину, равную либо кратную величине «шага аукциона».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line="260" w:lineRule="exact"/>
        <w:tabs>
          <w:tab w:val="left" w:pos="1418" w:leader="none"/>
        </w:tabs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«Шаг аукциона» устанавливается продавцом в фиксированной сумме, составляющей не более 5 процентов начальной цены продажи, и не изменяется </w:t>
      </w:r>
      <w:r>
        <w:rPr>
          <w:color w:val="000000" w:themeColor="text1"/>
          <w:sz w:val="28"/>
          <w:szCs w:val="28"/>
          <w:highlight w:val="white"/>
        </w:rPr>
        <w:br/>
        <w:t xml:space="preserve">в течение всего аукциона.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line="260" w:lineRule="exact"/>
        <w:tabs>
          <w:tab w:val="left" w:pos="1418" w:leader="none"/>
        </w:tabs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Во время проведения процедуры аукциона оператор электронной площадки обеспечивает доступ участников к закрытой части электронной площадки </w:t>
      </w:r>
      <w:r>
        <w:rPr>
          <w:color w:val="000000" w:themeColor="text1"/>
          <w:sz w:val="28"/>
          <w:szCs w:val="28"/>
          <w:highlight w:val="white"/>
        </w:rPr>
        <w:br/>
        <w:t xml:space="preserve">и возможность представления ими предложений о цене имущества.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line="260" w:lineRule="exact"/>
        <w:tabs>
          <w:tab w:val="left" w:pos="1418" w:leader="none"/>
        </w:tabs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Со времени начала проведения процедуры аукциона оператором электронной площадки размещается: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line="260" w:lineRule="exact"/>
        <w:tabs>
          <w:tab w:val="left" w:pos="1418" w:leader="none"/>
        </w:tabs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в открытой части электронной площадки - информация о начале проведения процедуры аукциона с указанием наименования имущества, начальной цены </w:t>
      </w:r>
      <w:r>
        <w:rPr>
          <w:color w:val="000000" w:themeColor="text1"/>
          <w:sz w:val="28"/>
          <w:szCs w:val="28"/>
          <w:highlight w:val="white"/>
        </w:rPr>
        <w:br/>
        <w:t xml:space="preserve">и текущего «шага аукциона»;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line="260" w:lineRule="exact"/>
        <w:tabs>
          <w:tab w:val="left" w:pos="1418" w:leader="none"/>
        </w:tabs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в закрытой части электронной площадки - помимо информации, указанной </w:t>
      </w:r>
      <w:r>
        <w:rPr>
          <w:color w:val="000000" w:themeColor="text1"/>
          <w:sz w:val="28"/>
          <w:szCs w:val="28"/>
          <w:highlight w:val="white"/>
        </w:rPr>
        <w:br/>
        <w:t xml:space="preserve">в открытой части электронной площадки, также предложения о цене имущества </w:t>
      </w:r>
      <w:r>
        <w:rPr>
          <w:color w:val="000000" w:themeColor="text1"/>
          <w:sz w:val="28"/>
          <w:szCs w:val="28"/>
          <w:highlight w:val="white"/>
        </w:rPr>
        <w:br/>
        <w:t xml:space="preserve">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line="260" w:lineRule="exact"/>
        <w:tabs>
          <w:tab w:val="left" w:pos="1418" w:leader="none"/>
        </w:tabs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В течение одного часа со времени начала проведения процедуры аукциона участникам предлагается заявить о приобретении имущества по начальной цене. </w:t>
      </w:r>
      <w:r>
        <w:rPr>
          <w:color w:val="000000" w:themeColor="text1"/>
          <w:sz w:val="28"/>
          <w:szCs w:val="28"/>
          <w:highlight w:val="white"/>
        </w:rPr>
        <w:br/>
        <w:t xml:space="preserve">В случае если в течение указанного времени: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line="260" w:lineRule="exact"/>
        <w:tabs>
          <w:tab w:val="left" w:pos="1418" w:leader="none"/>
        </w:tabs>
        <w:rPr>
          <w:sz w:val="28"/>
          <w:szCs w:val="28"/>
        </w:rPr>
      </w:pPr>
      <w:r>
        <w:rPr>
          <w:color w:val="000000" w:themeColor="text1"/>
          <w:sz w:val="28"/>
          <w:szCs w:val="28"/>
          <w:highlight w:val="white"/>
        </w:rPr>
        <w:t xml:space="preserve">поступило предложение о начальной цене имущества, то время </w:t>
      </w:r>
      <w:r>
        <w:rPr>
          <w:color w:val="000000" w:themeColor="text1"/>
          <w:sz w:val="28"/>
          <w:szCs w:val="28"/>
          <w:highlight w:val="white"/>
        </w:rPr>
        <w:br/>
        <w:t xml:space="preserve">для представления следующих предложений об увеличенной на «шаг аукциона» цене имущества продлевается на 10 минут со</w:t>
      </w:r>
      <w:r>
        <w:rPr>
          <w:color w:val="000000" w:themeColor="text1"/>
          <w:sz w:val="28"/>
          <w:szCs w:val="28"/>
          <w:highlight w:val="white"/>
        </w:rPr>
        <w:t xml:space="preserve"> времени представления каждого следующего предложения. Если в течение 10 минут после представления последнего предложе</w:t>
      </w:r>
      <w:r>
        <w:rPr>
          <w:sz w:val="28"/>
          <w:szCs w:val="28"/>
        </w:rPr>
        <w:t xml:space="preserve">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не поступило ни одного предложения о начальной цене имущества, то аукцион с помощью программно-аппаратных средств электронной площадки завершается. </w:t>
      </w:r>
      <w:r>
        <w:rPr>
          <w:sz w:val="28"/>
          <w:szCs w:val="28"/>
        </w:rPr>
        <w:br/>
        <w:t xml:space="preserve">В этом случае временем окончания представления предложений о цене имущества является время завершения аукциона.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При этом программными средствами электронной площадки обеспечивается: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Победителем признается участник, предложивший наиболее высокую цену имущества.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Ход проведения процедуры аукцион</w:t>
      </w:r>
      <w:r>
        <w:rPr>
          <w:sz w:val="28"/>
          <w:szCs w:val="28"/>
        </w:rPr>
        <w:t xml:space="preserve">а фиксируется оператором электронной площадки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 xml:space="preserve">Протокол об итогах аукциона удостоверяет право победителя либо лица, признанного единственным участником аукциона, на заключение договора</w:t>
      </w:r>
      <w:r>
        <w:rPr>
          <w:sz w:val="28"/>
          <w:szCs w:val="28"/>
        </w:rPr>
        <w:t xml:space="preserve"> купли-продажи имущества, содержит фамилию, имя, отчество или наименование юридического лица - победителя аукциона либо лица, признанного единственным участником аукциона, цену имущества, фамилию, имя, отчество или наименование юридического лица - участник</w:t>
      </w:r>
      <w:r>
        <w:rPr>
          <w:sz w:val="28"/>
          <w:szCs w:val="28"/>
        </w:rPr>
        <w:t xml:space="preserve">а продажи, который сделал предпоследнее предложение о цене такого имущества в ходе продажи,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Процедура аукциона считается завершенной со времени подписания продавцом протокола об итогах аукциона.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Аукцион признается несостоявшимся в следующих случаях: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не было подано ни одной заявки на участие либо ни один из претендентов </w:t>
      </w:r>
      <w:r>
        <w:rPr>
          <w:sz w:val="28"/>
          <w:szCs w:val="28"/>
        </w:rPr>
        <w:br/>
        <w:t xml:space="preserve">не признан участником;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лицо, признанное единственным участником аукциона, отказалось от заключения договора купли-продажи;</w:t>
      </w:r>
      <w:r>
        <w:rPr>
          <w:rFonts w:eastAsiaTheme="minorHAnsi"/>
          <w:sz w:val="28"/>
          <w:szCs w:val="28"/>
          <w:lang w:eastAsia="en-US"/>
        </w:rPr>
      </w:r>
      <w:r>
        <w:rPr>
          <w:rFonts w:eastAsiaTheme="minorHAnsi"/>
          <w:sz w:val="28"/>
          <w:szCs w:val="28"/>
          <w:lang w:eastAsia="en-US"/>
        </w:rPr>
      </w:r>
    </w:p>
    <w:p>
      <w:pPr>
        <w:ind w:firstLine="709"/>
        <w:jc w:val="both"/>
        <w:spacing w:line="26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ни один из участников не сделал предложение о начальной цене имущества.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Решение о признании аукциона несостоявшимся оформляется протоколом.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 xml:space="preserve">Уведомление о признании участника аукциона победителем либо лицом, признанным единственным участником аукциона, направляется победителю либо лицу, признанному единственным участником аукциона, в день подведения итогов аукциона.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 xml:space="preserve">В течение одного часа со времени подписания протокола об итогах аукциона победителю либо лицу, признанному </w:t>
      </w:r>
      <w:r>
        <w:rPr>
          <w:sz w:val="28"/>
          <w:szCs w:val="28"/>
        </w:rPr>
        <w:t xml:space="preserve">единственным участником аукциона, направляется уведомление о признании его победителем либо лицом, признанным единственным участником аукциона, с приложением данного протокола, а также размещается в открытой части электронной площадки следующая информация: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- наименование имущества и иные позволяющие его индивидуализировать сведения;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- цена сделки;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- фамилия, имя, отчество физического лица или наименование юридического лица – победителя либо лица, признанного единственным участником аукциона.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rPr>
          <w:sz w:val="28"/>
          <w:szCs w:val="28"/>
        </w:rPr>
      </w:pPr>
      <w:r>
        <w:rPr>
          <w:b/>
          <w:sz w:val="28"/>
          <w:szCs w:val="28"/>
        </w:rPr>
        <w:t xml:space="preserve">1</w:t>
      </w:r>
      <w:r>
        <w:rPr>
          <w:b/>
          <w:sz w:val="28"/>
          <w:szCs w:val="28"/>
        </w:rPr>
        <w:t xml:space="preserve">1</w:t>
      </w:r>
      <w:r>
        <w:rPr>
          <w:b/>
          <w:sz w:val="28"/>
          <w:szCs w:val="28"/>
        </w:rPr>
        <w:t xml:space="preserve">. Срок заключения договора купли-продажи краевого имущества: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 xml:space="preserve">Заключение договора купли-продажи с победителем аукциона либо лицом, признанным единственным участником аукциона, осуществляется не ранее чем через десять дней и не позднее двадцати дней со дня размещения на официальном сайте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в сети "Интернет" протокола об итогах аукциона.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Договор купли-продажи имущества заключается в форме электронного документа.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 xml:space="preserve">При уклонении или отказе победителя аукциона либо лица, признанного единственным участником аукциона, от заключения в установленный срок договора купли-продажи имущества задаток ему не возвращается, и он утрачивает право на заключение указанного договора.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5"/>
        <w:ind w:left="0" w:firstLine="709"/>
        <w:jc w:val="both"/>
        <w:spacing w:after="0" w:line="260" w:lineRule="exact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Ответственность покупателя в случае его отказа или уклонения от оплаты имущества в установленные сроки предусматривается в соответствии </w:t>
      </w:r>
      <w:r>
        <w:rPr>
          <w:sz w:val="28"/>
          <w:szCs w:val="28"/>
        </w:rPr>
        <w:br/>
        <w:t xml:space="preserve">с законодательством Российской Федерации в договоре купли-продажи имущества, задаток ему не возвращается.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</w:t>
      </w:r>
      <w:r>
        <w:rPr>
          <w:b/>
          <w:sz w:val="28"/>
          <w:szCs w:val="28"/>
        </w:rPr>
        <w:t xml:space="preserve">2</w:t>
      </w:r>
      <w:r>
        <w:rPr>
          <w:b/>
          <w:sz w:val="28"/>
          <w:szCs w:val="28"/>
        </w:rPr>
        <w:t xml:space="preserve">. Условия и срок платежа, реквизиты счета для оплаты приобретаемого краевого имущества по договору купли-продажи</w:t>
      </w:r>
      <w:r>
        <w:rPr>
          <w:sz w:val="28"/>
          <w:szCs w:val="28"/>
        </w:rPr>
        <w:t xml:space="preserve">: оплата приобретаемого краевого имущества производится путем перечисления денежных средств в валюте Российской Федерации в безналичном порядке единовременно по следующим реквизитам:</w:t>
      </w:r>
      <w:r>
        <w:rPr>
          <w:b/>
          <w:sz w:val="28"/>
          <w:szCs w:val="28"/>
        </w:rPr>
        <w:t xml:space="preserve"> на специальный лицевой счет Продавца</w:t>
      </w:r>
      <w:r>
        <w:rPr>
          <w:b/>
          <w:color w:val="000000"/>
          <w:sz w:val="28"/>
          <w:szCs w:val="28"/>
        </w:rPr>
        <w:t xml:space="preserve">: </w:t>
      </w:r>
      <w:r>
        <w:rPr>
          <w:b/>
          <w:sz w:val="28"/>
          <w:szCs w:val="28"/>
        </w:rPr>
        <w:t xml:space="preserve">Банк получателя: ОКЦ №3УГУ Банка России//УФК по Пермскому краю г. Пермь, БИК 015773997, Единый казначейский счет (ЕКС) № 40102810145370000048, Казначейский счет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both"/>
        <w:spacing w:line="26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№ 03222643570000005600, Получатель: Минфин Пермского края (Министерство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both"/>
        <w:spacing w:line="260" w:lineRule="exact"/>
        <w:rPr>
          <w:sz w:val="28"/>
          <w:szCs w:val="28"/>
        </w:rPr>
      </w:pPr>
      <w:r>
        <w:rPr>
          <w:b/>
          <w:sz w:val="28"/>
          <w:szCs w:val="28"/>
        </w:rPr>
        <w:t xml:space="preserve">по управлению имуществом и градостроительной деятельности Пермского края, л/с № 058120421), ИНН 5902293192, КПП 590401001, ОКТМО 57701000</w:t>
      </w:r>
      <w:r>
        <w:rPr>
          <w:b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br/>
        <w:t xml:space="preserve">в течение 10 (Десяти) дней со дня заключения договора купли-продажи. Задаток, перечисленный победителем аукциона либо лицом, признанным единственным участником аукциона, засчитывается в счет оплаты приобретаемого имущества </w:t>
      </w:r>
      <w:r>
        <w:rPr>
          <w:sz w:val="28"/>
          <w:szCs w:val="28"/>
        </w:rPr>
        <w:br/>
        <w:t xml:space="preserve">(в сумму платежа по договору купли-продажи).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 xml:space="preserve">В случае уклонения или отказа покупателя от оплаты приобретаемого имущества покупателем уплачивается неустойка в соответствии с договором купли-продажи имущества.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 xml:space="preserve">Факт оплаты покупателем приобретаемого имущества подтверждается выпиской со счета, указанного в настоящем Информационном сообщении, подтверждающей поступление денежных средств в размере и сроки, предусмотренные договором купли-продажи имущества.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3"/>
        <w:contextualSpacing w:val="0"/>
        <w:ind w:left="0" w:right="-2" w:firstLine="709"/>
        <w:jc w:val="both"/>
        <w:spacing w:line="260" w:lineRule="exact"/>
        <w:widowControl w:val="off"/>
        <w:tabs>
          <w:tab w:val="left" w:pos="142" w:leader="none"/>
          <w:tab w:val="left" w:pos="284" w:leader="none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</w:t>
      </w:r>
      <w:r>
        <w:rPr>
          <w:b/>
          <w:bCs/>
          <w:sz w:val="28"/>
          <w:szCs w:val="28"/>
        </w:rPr>
        <w:t xml:space="preserve">3</w:t>
      </w:r>
      <w:r>
        <w:rPr>
          <w:b/>
          <w:bCs/>
          <w:sz w:val="28"/>
          <w:szCs w:val="28"/>
        </w:rPr>
        <w:t xml:space="preserve">. </w:t>
      </w:r>
      <w:r>
        <w:rPr>
          <w:b/>
          <w:sz w:val="28"/>
          <w:szCs w:val="28"/>
        </w:rPr>
        <w:t xml:space="preserve">Порядок ознакомления покупателей с иной информацией, условиями договора купли-продажи краевого имущества:</w:t>
      </w:r>
      <w:r>
        <w:rPr>
          <w:sz w:val="28"/>
          <w:szCs w:val="28"/>
        </w:rPr>
        <w:t xml:space="preserve"> с иной информацией, условиями договора купли-продажи имущества можно ознакомиться по адресу: Пермский край, г. Пермь, ул. Сибирская, д. 30а, 1 этаж, каб.112 (с понедельника по четверг </w:t>
      </w:r>
      <w:r>
        <w:rPr>
          <w:sz w:val="28"/>
          <w:szCs w:val="28"/>
        </w:rPr>
        <w:br/>
        <w:t xml:space="preserve">с 09.00 час. до 17.00 час., в пятницу с 09.00 час. до 16.00 час., перерыв с 13.00 час.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до 13.48 час. (время местное)</w:t>
      </w:r>
      <w:r>
        <w:rPr>
          <w:sz w:val="28"/>
          <w:szCs w:val="28"/>
        </w:rPr>
        <w:t xml:space="preserve">; тел. (342) 211 04 67 (доб. 1168), </w:t>
      </w:r>
      <w:r>
        <w:rPr>
          <w:bCs/>
          <w:sz w:val="28"/>
          <w:szCs w:val="28"/>
        </w:rPr>
        <w:t xml:space="preserve">адрес электронной почты: </w:t>
      </w:r>
      <w:r>
        <w:rPr>
          <w:bCs/>
          <w:sz w:val="28"/>
          <w:szCs w:val="28"/>
          <w:lang w:val="en-US"/>
        </w:rPr>
        <w:t xml:space="preserve">nazubareva</w:t>
      </w:r>
      <w:r>
        <w:rPr>
          <w:bCs/>
          <w:sz w:val="28"/>
          <w:szCs w:val="28"/>
        </w:rPr>
        <w:t xml:space="preserve">@</w:t>
      </w:r>
      <w:r>
        <w:rPr>
          <w:bCs/>
          <w:sz w:val="28"/>
          <w:szCs w:val="28"/>
          <w:lang w:val="en-US"/>
        </w:rPr>
        <w:t xml:space="preserve">auprim</w:t>
      </w:r>
      <w:r>
        <w:rPr>
          <w:bCs/>
          <w:sz w:val="28"/>
          <w:szCs w:val="28"/>
        </w:rPr>
        <w:t xml:space="preserve">.</w:t>
      </w:r>
      <w:r>
        <w:rPr>
          <w:bCs/>
          <w:sz w:val="28"/>
          <w:szCs w:val="28"/>
          <w:lang w:val="en-US"/>
        </w:rPr>
        <w:t xml:space="preserve">permkrai</w:t>
      </w:r>
      <w:r>
        <w:rPr>
          <w:bCs/>
          <w:sz w:val="28"/>
          <w:szCs w:val="28"/>
        </w:rPr>
        <w:t xml:space="preserve">.</w:t>
      </w:r>
      <w:r>
        <w:rPr>
          <w:bCs/>
          <w:sz w:val="28"/>
          <w:szCs w:val="28"/>
          <w:lang w:val="en-US"/>
        </w:rPr>
        <w:t xml:space="preserve">ru</w:t>
      </w:r>
      <w:r>
        <w:rPr>
          <w:bCs/>
          <w:sz w:val="28"/>
          <w:szCs w:val="28"/>
        </w:rPr>
        <w:t xml:space="preserve">, сайт: </w:t>
      </w:r>
      <w:r>
        <w:rPr>
          <w:sz w:val="28"/>
          <w:szCs w:val="28"/>
        </w:rPr>
        <w:t xml:space="preserve">http://migd.permkrai.ru/</w:t>
      </w:r>
      <w:r>
        <w:rPr>
          <w:bCs/>
          <w:sz w:val="28"/>
          <w:szCs w:val="28"/>
        </w:rPr>
        <w:t xml:space="preserve">, </w:t>
      </w:r>
      <w:r>
        <w:rPr>
          <w:sz w:val="28"/>
          <w:szCs w:val="28"/>
        </w:rPr>
        <w:t xml:space="preserve">в течение указанного в настоящем Информационном сообщении срока подачи заявок (со дня приема заявок).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Любое лицо независимо от регистрации на электронной площадке вправе направить на электронный адрес Организатора запрос о разъяснении размещенной информации.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</w:t>
      </w:r>
      <w:r>
        <w:rPr>
          <w:sz w:val="28"/>
          <w:szCs w:val="28"/>
        </w:rPr>
        <w:br/>
        <w:t xml:space="preserve">5 рабочих дней до окончания подачи заявок.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</w:t>
      </w:r>
      <w:r>
        <w:rPr>
          <w:sz w:val="28"/>
          <w:szCs w:val="28"/>
        </w:rPr>
        <w:br/>
        <w:t xml:space="preserve">с указанием предмета запроса, но без указания лица, от которого поступил запрос.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60" w:lineRule="exact"/>
        <w:tabs>
          <w:tab w:val="left" w:pos="1418" w:leader="none"/>
        </w:tabs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1</w:t>
      </w:r>
      <w:r>
        <w:rPr>
          <w:b/>
          <w:sz w:val="28"/>
          <w:szCs w:val="28"/>
        </w:rPr>
        <w:t xml:space="preserve">4</w:t>
      </w:r>
      <w:r>
        <w:rPr>
          <w:b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 xml:space="preserve">Ограничения участия отдельных категорий физических лиц </w:t>
      </w:r>
      <w:r>
        <w:rPr>
          <w:b/>
          <w:bCs/>
          <w:sz w:val="28"/>
          <w:szCs w:val="28"/>
        </w:rPr>
        <w:br/>
        <w:t xml:space="preserve">и юридических лиц в приватизации краевого имущества: </w:t>
      </w:r>
      <w:r>
        <w:rPr>
          <w:bCs/>
          <w:sz w:val="28"/>
          <w:szCs w:val="28"/>
        </w:rPr>
        <w:t xml:space="preserve">покупателями краевого имущества могут быть любые физические и юридические лица, за исключением государственных и муниципальных унитарных предприятий, государственных </w:t>
      </w:r>
      <w:r>
        <w:rPr>
          <w:bCs/>
          <w:sz w:val="28"/>
          <w:szCs w:val="28"/>
        </w:rPr>
        <w:br/>
        <w:t xml:space="preserve">и муниципальных учреждений, а также юридических лиц, в уставном капитале которых доля Российской Федерации, субъектов Российской Федерации </w:t>
      </w:r>
      <w:r>
        <w:rPr>
          <w:bCs/>
          <w:sz w:val="28"/>
          <w:szCs w:val="28"/>
        </w:rPr>
        <w:br/>
        <w:t xml:space="preserve">и муниципальных образований превышает 25 процентов, кроме случаев, предусмотренных статьей 25 Федерального закона от 21.12.2001 № 178-ФЗ </w:t>
      </w:r>
      <w:r>
        <w:rPr>
          <w:bCs/>
          <w:sz w:val="28"/>
          <w:szCs w:val="28"/>
        </w:rPr>
        <w:br/>
        <w:t xml:space="preserve">«О приватизации государственного и муниципального имущества»; иные ограничения в соответствии с федеральным законодательством.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spacing w:line="260" w:lineRule="exact"/>
        <w:tabs>
          <w:tab w:val="left" w:pos="1418" w:leader="none"/>
        </w:tabs>
        <w:rPr>
          <w:rFonts w:eastAsiaTheme="minorHAnsi"/>
          <w:b/>
          <w:bCs/>
          <w:sz w:val="28"/>
          <w:szCs w:val="28"/>
          <w:highlight w:val="none"/>
          <w:lang w:eastAsia="en-US"/>
        </w:rPr>
      </w:pPr>
      <w:r>
        <w:rPr>
          <w:b/>
          <w:sz w:val="28"/>
          <w:szCs w:val="28"/>
        </w:rPr>
        <w:t xml:space="preserve">1</w:t>
      </w:r>
      <w:r>
        <w:rPr>
          <w:b/>
          <w:sz w:val="28"/>
          <w:szCs w:val="28"/>
        </w:rPr>
        <w:t xml:space="preserve">5</w:t>
      </w:r>
      <w:r>
        <w:rPr>
          <w:b/>
          <w:sz w:val="28"/>
          <w:szCs w:val="28"/>
        </w:rPr>
        <w:t xml:space="preserve">. </w:t>
      </w:r>
      <w:r>
        <w:rPr>
          <w:rFonts w:eastAsiaTheme="minorHAnsi"/>
          <w:b/>
          <w:sz w:val="28"/>
          <w:szCs w:val="28"/>
          <w:lang w:eastAsia="en-US"/>
        </w:rPr>
        <w:t xml:space="preserve">Сведения обо всех предыдущих торгах по продаже краевого имущества, объявленных в течение года, предшествующего его продаже, и об итогах торгов по продаже такого имущества: </w:t>
      </w:r>
      <w:r>
        <w:rPr>
          <w:rFonts w:eastAsiaTheme="minorHAnsi"/>
          <w:b/>
          <w:bCs/>
          <w:sz w:val="28"/>
          <w:szCs w:val="28"/>
          <w:highlight w:val="none"/>
          <w:lang w:eastAsia="en-US"/>
        </w:rPr>
      </w:r>
      <w:r>
        <w:rPr>
          <w:rFonts w:eastAsiaTheme="minorHAnsi"/>
          <w:b/>
          <w:bCs/>
          <w:sz w:val="28"/>
          <w:szCs w:val="28"/>
          <w:highlight w:val="none"/>
          <w:lang w:eastAsia="en-US"/>
        </w:rPr>
      </w:r>
    </w:p>
    <w:p>
      <w:pPr>
        <w:ind w:firstLine="709"/>
        <w:jc w:val="both"/>
        <w:spacing w:line="279" w:lineRule="exact"/>
        <w:tabs>
          <w:tab w:val="left" w:pos="1418" w:leader="none"/>
        </w:tabs>
        <w:rPr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  <w:t xml:space="preserve">пр</w:t>
      </w:r>
      <w:r>
        <w:rPr>
          <w:sz w:val="28"/>
          <w:szCs w:val="28"/>
          <w:highlight w:val="white"/>
        </w:rPr>
        <w:t xml:space="preserve">одажа краевого имущества в порядке приватизации на аукционе </w:t>
        <w:br/>
        <w:t xml:space="preserve">в электронной форме признана несостоявшейся: не подано ни одной заявки </w:t>
        <w:br/>
        <w:t xml:space="preserve">на участие (п. 82(1) постановления Правительства РФ от 27 августа 2012 г. № 860) (Протокол об итогах продажи государственно</w:t>
      </w:r>
      <w:r>
        <w:rPr>
          <w:sz w:val="28"/>
          <w:szCs w:val="28"/>
          <w:highlight w:val="white"/>
        </w:rPr>
        <w:t xml:space="preserve">го имущества Пермского края </w:t>
      </w:r>
      <w:r>
        <w:rPr>
          <w:sz w:val="28"/>
          <w:szCs w:val="28"/>
          <w:highlight w:val="white"/>
        </w:rPr>
        <w:t xml:space="preserve">в порядке приватизации на аукционе в электронной форме от 07 октября 2026 г.).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60" w:lineRule="exact"/>
        <w:tabs>
          <w:tab w:val="left" w:pos="1418" w:leader="none"/>
        </w:tabs>
        <w:rPr>
          <w:rFonts w:eastAsiaTheme="minorHAnsi"/>
          <w:b/>
          <w:bCs/>
          <w:sz w:val="28"/>
          <w:szCs w:val="28"/>
          <w:highlight w:val="none"/>
          <w:lang w:eastAsia="en-US"/>
        </w:rPr>
      </w:pPr>
      <w:r>
        <w:rPr>
          <w:rFonts w:eastAsiaTheme="minorHAnsi"/>
          <w:b/>
          <w:sz w:val="28"/>
          <w:szCs w:val="28"/>
          <w:highlight w:val="none"/>
          <w:lang w:eastAsia="en-US"/>
        </w:rPr>
      </w:r>
      <w:r>
        <w:rPr>
          <w:rFonts w:eastAsiaTheme="minorHAnsi"/>
          <w:b/>
          <w:bCs/>
          <w:sz w:val="28"/>
          <w:szCs w:val="28"/>
          <w:highlight w:val="none"/>
          <w:lang w:eastAsia="en-US"/>
        </w:rPr>
      </w:r>
      <w:r>
        <w:rPr>
          <w:rFonts w:eastAsiaTheme="minorHAnsi"/>
          <w:b/>
          <w:bCs/>
          <w:sz w:val="28"/>
          <w:szCs w:val="28"/>
          <w:highlight w:val="none"/>
          <w:lang w:eastAsia="en-US"/>
        </w:rPr>
      </w:r>
    </w:p>
    <w:p>
      <w:pPr>
        <w:ind w:firstLine="709"/>
        <w:jc w:val="both"/>
        <w:spacing w:line="260" w:lineRule="exact"/>
        <w:tabs>
          <w:tab w:val="left" w:pos="1418" w:leader="none"/>
        </w:tabs>
        <w:rPr>
          <w:sz w:val="28"/>
          <w:szCs w:val="28"/>
        </w:rPr>
      </w:pPr>
      <w:r>
        <w:rPr>
          <w:rFonts w:eastAsiaTheme="minorHAnsi"/>
          <w:b/>
          <w:sz w:val="28"/>
          <w:szCs w:val="28"/>
          <w:highlight w:val="none"/>
          <w:lang w:eastAsia="en-US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60" w:lineRule="exact"/>
        <w:tabs>
          <w:tab w:val="left" w:pos="1418" w:leader="none"/>
        </w:tabs>
        <w:rPr>
          <w:sz w:val="28"/>
          <w:szCs w:val="28"/>
        </w:rPr>
      </w:pPr>
      <w:r/>
      <w:bookmarkStart w:id="0" w:name="_GoBack"/>
      <w:r/>
      <w:bookmarkEnd w:id="0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60" w:lineRule="exact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footnotePr/>
      <w:endnotePr/>
      <w:type w:val="nextPage"/>
      <w:pgSz w:w="11906" w:h="16838" w:orient="portrait"/>
      <w:pgMar w:top="1276" w:right="707" w:bottom="1135" w:left="993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ambria">
    <w:panose1 w:val="02040803050406030204"/>
  </w:font>
  <w:font w:name="Calibri">
    <w:panose1 w:val="020F0502020204030204"/>
  </w:font>
  <w:font w:name="Courier New">
    <w:panose1 w:val="02070309020205020404"/>
  </w:font>
  <w:font w:name="Trebuchet MS">
    <w:panose1 w:val="020B06030202020202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Wingdings">
    <w:panose1 w:val="05010000000000000000"/>
  </w:font>
  <w:font w:name="Liberation Sans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5"/>
      <w:numFmt w:val="bullet"/>
      <w:isLgl w:val="false"/>
      <w:suff w:val="tab"/>
      <w:lvlText w:val="-"/>
      <w:lvlJc w:val="left"/>
      <w:pPr>
        <w:ind w:left="1440" w:hanging="360"/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14"/>
      <w:numFmt w:val="decimal"/>
      <w:isLgl w:val="false"/>
      <w:suff w:val="tab"/>
      <w:lvlText w:val="%1"/>
      <w:lvlJc w:val="left"/>
      <w:pPr>
        <w:ind w:left="2412" w:hanging="1095"/>
        <w:tabs>
          <w:tab w:val="num" w:pos="2412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397" w:hanging="360"/>
        <w:tabs>
          <w:tab w:val="num" w:pos="2397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3117" w:hanging="180"/>
        <w:tabs>
          <w:tab w:val="num" w:pos="3117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837" w:hanging="360"/>
        <w:tabs>
          <w:tab w:val="num" w:pos="3837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557" w:hanging="360"/>
        <w:tabs>
          <w:tab w:val="num" w:pos="4557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277" w:hanging="180"/>
        <w:tabs>
          <w:tab w:val="num" w:pos="5277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997" w:hanging="360"/>
        <w:tabs>
          <w:tab w:val="num" w:pos="5997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717" w:hanging="360"/>
        <w:tabs>
          <w:tab w:val="num" w:pos="6717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437" w:hanging="180"/>
        <w:tabs>
          <w:tab w:val="num" w:pos="7437" w:leader="none"/>
        </w:tabs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  <w:tabs>
          <w:tab w:val="num" w:pos="1647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  <w:tabs>
          <w:tab w:val="num" w:pos="2367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  <w:tabs>
          <w:tab w:val="num" w:pos="3087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  <w:tabs>
          <w:tab w:val="num" w:pos="3807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  <w:tabs>
          <w:tab w:val="num" w:pos="4527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  <w:tabs>
          <w:tab w:val="num" w:pos="5247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  <w:tabs>
          <w:tab w:val="num" w:pos="5967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  <w:tabs>
          <w:tab w:val="num" w:pos="6687" w:leader="none"/>
        </w:tabs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  <w:tabs>
          <w:tab w:val="num" w:pos="108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  <w:tabs>
          <w:tab w:val="num" w:pos="180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  <w:tabs>
          <w:tab w:val="num" w:pos="252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  <w:tabs>
          <w:tab w:val="num" w:pos="324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  <w:tabs>
          <w:tab w:val="num" w:pos="396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  <w:tabs>
          <w:tab w:val="num" w:pos="468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  <w:tabs>
          <w:tab w:val="num" w:pos="540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  <w:tabs>
          <w:tab w:val="num" w:pos="6120" w:leader="none"/>
        </w:tabs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542" w:hanging="97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 w:ascii="Times New Roman" w:hAnsi="Times New Roman" w:cs="Times New Roman"/>
        <w:sz w:val="24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9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 w:eastAsia="Times New Roman"/>
        <w:b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1"/>
  </w:num>
  <w:num w:numId="4">
    <w:abstractNumId w:val="12"/>
  </w:num>
  <w:num w:numId="5">
    <w:abstractNumId w:val="10"/>
  </w:num>
  <w:num w:numId="6">
    <w:abstractNumId w:val="5"/>
  </w:num>
  <w:num w:numId="7">
    <w:abstractNumId w:val="17"/>
  </w:num>
  <w:num w:numId="8">
    <w:abstractNumId w:val="20"/>
  </w:num>
  <w:num w:numId="9">
    <w:abstractNumId w:val="16"/>
  </w:num>
  <w:num w:numId="10">
    <w:abstractNumId w:val="21"/>
  </w:num>
  <w:num w:numId="11">
    <w:abstractNumId w:val="4"/>
  </w:num>
  <w:num w:numId="12">
    <w:abstractNumId w:val="2"/>
  </w:num>
  <w:num w:numId="13">
    <w:abstractNumId w:val="7"/>
  </w:num>
  <w:num w:numId="14">
    <w:abstractNumId w:val="2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6"/>
  </w:num>
  <w:num w:numId="17">
    <w:abstractNumId w:val="8"/>
  </w:num>
  <w:num w:numId="18">
    <w:abstractNumId w:val="18"/>
  </w:num>
  <w:num w:numId="19">
    <w:abstractNumId w:val="15"/>
  </w:num>
  <w:num w:numId="20">
    <w:abstractNumId w:val="1"/>
  </w:num>
  <w:num w:numId="21">
    <w:abstractNumId w:val="13"/>
  </w:num>
  <w:num w:numId="22">
    <w:abstractNumId w:val="19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0">
    <w:name w:val="Heading 4 Char"/>
    <w:basedOn w:val="720"/>
    <w:link w:val="714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01">
    <w:name w:val="Heading 5 Char"/>
    <w:basedOn w:val="720"/>
    <w:link w:val="715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02">
    <w:name w:val="Heading 7 Char"/>
    <w:basedOn w:val="720"/>
    <w:link w:val="71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03">
    <w:name w:val="Heading 8 Char"/>
    <w:basedOn w:val="720"/>
    <w:link w:val="71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04">
    <w:name w:val="Heading 9 Char"/>
    <w:basedOn w:val="720"/>
    <w:link w:val="719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05">
    <w:name w:val="Subtitle Char"/>
    <w:basedOn w:val="720"/>
    <w:link w:val="733"/>
    <w:uiPriority w:val="11"/>
    <w:rPr>
      <w:sz w:val="24"/>
      <w:szCs w:val="24"/>
    </w:rPr>
  </w:style>
  <w:style w:type="character" w:styleId="706">
    <w:name w:val="Quote Char"/>
    <w:link w:val="735"/>
    <w:uiPriority w:val="29"/>
    <w:rPr>
      <w:i/>
    </w:rPr>
  </w:style>
  <w:style w:type="character" w:styleId="707">
    <w:name w:val="Intense Quote Char"/>
    <w:link w:val="737"/>
    <w:uiPriority w:val="30"/>
    <w:rPr>
      <w:i/>
    </w:rPr>
  </w:style>
  <w:style w:type="character" w:styleId="708">
    <w:name w:val="Caption Char"/>
    <w:basedOn w:val="720"/>
    <w:link w:val="741"/>
    <w:uiPriority w:val="35"/>
    <w:rPr>
      <w:b/>
      <w:bCs/>
      <w:color w:val="4f81bd" w:themeColor="accent1"/>
      <w:sz w:val="18"/>
      <w:szCs w:val="18"/>
    </w:rPr>
  </w:style>
  <w:style w:type="character" w:styleId="709">
    <w:name w:val="Endnote Text Char"/>
    <w:link w:val="869"/>
    <w:uiPriority w:val="99"/>
    <w:rPr>
      <w:sz w:val="20"/>
    </w:rPr>
  </w:style>
  <w:style w:type="paragraph" w:styleId="710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11">
    <w:name w:val="Heading 1"/>
    <w:basedOn w:val="710"/>
    <w:next w:val="710"/>
    <w:link w:val="902"/>
    <w:qFormat/>
    <w:pPr>
      <w:ind w:left="1080" w:right="4855" w:hanging="540"/>
      <w:keepNext/>
      <w:tabs>
        <w:tab w:val="left" w:pos="4500" w:leader="none"/>
      </w:tabs>
      <w:outlineLvl w:val="0"/>
    </w:pPr>
    <w:rPr>
      <w:b/>
      <w:bCs/>
      <w:sz w:val="18"/>
    </w:rPr>
  </w:style>
  <w:style w:type="paragraph" w:styleId="712">
    <w:name w:val="Heading 2"/>
    <w:basedOn w:val="710"/>
    <w:next w:val="710"/>
    <w:link w:val="903"/>
    <w:qFormat/>
    <w:pPr>
      <w:ind w:left="1080" w:right="4855" w:hanging="540"/>
      <w:keepNext/>
      <w:tabs>
        <w:tab w:val="left" w:pos="4500" w:leader="none"/>
      </w:tabs>
      <w:outlineLvl w:val="1"/>
    </w:pPr>
    <w:rPr>
      <w:b/>
      <w:bCs/>
      <w:sz w:val="16"/>
    </w:rPr>
  </w:style>
  <w:style w:type="paragraph" w:styleId="713">
    <w:name w:val="Heading 3"/>
    <w:basedOn w:val="710"/>
    <w:next w:val="710"/>
    <w:link w:val="904"/>
    <w:qFormat/>
    <w:pPr>
      <w:ind w:left="1080" w:right="4855" w:hanging="540"/>
      <w:keepNext/>
      <w:tabs>
        <w:tab w:val="left" w:pos="4500" w:leader="none"/>
      </w:tabs>
      <w:outlineLvl w:val="2"/>
    </w:pPr>
    <w:rPr>
      <w:b/>
      <w:bCs/>
      <w:sz w:val="20"/>
    </w:rPr>
  </w:style>
  <w:style w:type="paragraph" w:styleId="714">
    <w:name w:val="Heading 4"/>
    <w:basedOn w:val="710"/>
    <w:next w:val="710"/>
    <w:link w:val="72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15">
    <w:name w:val="Heading 5"/>
    <w:basedOn w:val="710"/>
    <w:next w:val="710"/>
    <w:link w:val="72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16">
    <w:name w:val="Heading 6"/>
    <w:basedOn w:val="710"/>
    <w:next w:val="710"/>
    <w:link w:val="905"/>
    <w:qFormat/>
    <w:pPr>
      <w:ind w:left="72" w:right="72"/>
      <w:jc w:val="center"/>
      <w:keepNext/>
      <w:tabs>
        <w:tab w:val="left" w:pos="72" w:leader="none"/>
        <w:tab w:val="left" w:pos="6192" w:leader="none"/>
      </w:tabs>
      <w:outlineLvl w:val="5"/>
    </w:pPr>
    <w:rPr>
      <w:b/>
      <w:bCs/>
      <w:sz w:val="20"/>
    </w:rPr>
  </w:style>
  <w:style w:type="paragraph" w:styleId="717">
    <w:name w:val="Heading 7"/>
    <w:basedOn w:val="710"/>
    <w:next w:val="710"/>
    <w:link w:val="72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18">
    <w:name w:val="Heading 8"/>
    <w:basedOn w:val="710"/>
    <w:next w:val="710"/>
    <w:link w:val="73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19">
    <w:name w:val="Heading 9"/>
    <w:basedOn w:val="710"/>
    <w:next w:val="710"/>
    <w:link w:val="73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0" w:default="1">
    <w:name w:val="Default Paragraph Font"/>
    <w:uiPriority w:val="1"/>
    <w:semiHidden/>
    <w:unhideWhenUsed/>
  </w:style>
  <w:style w:type="table" w:styleId="72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22" w:default="1">
    <w:name w:val="No List"/>
    <w:uiPriority w:val="99"/>
    <w:semiHidden/>
    <w:unhideWhenUsed/>
  </w:style>
  <w:style w:type="character" w:styleId="723" w:customStyle="1">
    <w:name w:val="Heading 1 Char"/>
    <w:basedOn w:val="720"/>
    <w:uiPriority w:val="9"/>
    <w:rPr>
      <w:rFonts w:ascii="Arial" w:hAnsi="Arial" w:eastAsia="Arial" w:cs="Arial"/>
      <w:sz w:val="40"/>
      <w:szCs w:val="40"/>
    </w:rPr>
  </w:style>
  <w:style w:type="character" w:styleId="724" w:customStyle="1">
    <w:name w:val="Heading 2 Char"/>
    <w:basedOn w:val="720"/>
    <w:uiPriority w:val="9"/>
    <w:rPr>
      <w:rFonts w:ascii="Arial" w:hAnsi="Arial" w:eastAsia="Arial" w:cs="Arial"/>
      <w:sz w:val="34"/>
    </w:rPr>
  </w:style>
  <w:style w:type="character" w:styleId="725" w:customStyle="1">
    <w:name w:val="Heading 3 Char"/>
    <w:basedOn w:val="720"/>
    <w:uiPriority w:val="9"/>
    <w:rPr>
      <w:rFonts w:ascii="Arial" w:hAnsi="Arial" w:eastAsia="Arial" w:cs="Arial"/>
      <w:sz w:val="30"/>
      <w:szCs w:val="30"/>
    </w:rPr>
  </w:style>
  <w:style w:type="character" w:styleId="726" w:customStyle="1">
    <w:name w:val="Заголовок 4 Знак"/>
    <w:basedOn w:val="720"/>
    <w:link w:val="714"/>
    <w:uiPriority w:val="9"/>
    <w:rPr>
      <w:rFonts w:ascii="Arial" w:hAnsi="Arial" w:eastAsia="Arial" w:cs="Arial"/>
      <w:b/>
      <w:bCs/>
      <w:sz w:val="26"/>
      <w:szCs w:val="26"/>
    </w:rPr>
  </w:style>
  <w:style w:type="character" w:styleId="727" w:customStyle="1">
    <w:name w:val="Заголовок 5 Знак"/>
    <w:basedOn w:val="720"/>
    <w:link w:val="715"/>
    <w:uiPriority w:val="9"/>
    <w:rPr>
      <w:rFonts w:ascii="Arial" w:hAnsi="Arial" w:eastAsia="Arial" w:cs="Arial"/>
      <w:b/>
      <w:bCs/>
      <w:sz w:val="24"/>
      <w:szCs w:val="24"/>
    </w:rPr>
  </w:style>
  <w:style w:type="character" w:styleId="728" w:customStyle="1">
    <w:name w:val="Heading 6 Char"/>
    <w:basedOn w:val="720"/>
    <w:uiPriority w:val="9"/>
    <w:rPr>
      <w:rFonts w:ascii="Arial" w:hAnsi="Arial" w:eastAsia="Arial" w:cs="Arial"/>
      <w:b/>
      <w:bCs/>
      <w:sz w:val="22"/>
      <w:szCs w:val="22"/>
    </w:rPr>
  </w:style>
  <w:style w:type="character" w:styleId="729" w:customStyle="1">
    <w:name w:val="Заголовок 7 Знак"/>
    <w:basedOn w:val="720"/>
    <w:link w:val="71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0" w:customStyle="1">
    <w:name w:val="Заголовок 8 Знак"/>
    <w:basedOn w:val="720"/>
    <w:link w:val="718"/>
    <w:uiPriority w:val="9"/>
    <w:rPr>
      <w:rFonts w:ascii="Arial" w:hAnsi="Arial" w:eastAsia="Arial" w:cs="Arial"/>
      <w:i/>
      <w:iCs/>
      <w:sz w:val="22"/>
      <w:szCs w:val="22"/>
    </w:rPr>
  </w:style>
  <w:style w:type="character" w:styleId="731" w:customStyle="1">
    <w:name w:val="Заголовок 9 Знак"/>
    <w:basedOn w:val="720"/>
    <w:link w:val="719"/>
    <w:uiPriority w:val="9"/>
    <w:rPr>
      <w:rFonts w:ascii="Arial" w:hAnsi="Arial" w:eastAsia="Arial" w:cs="Arial"/>
      <w:i/>
      <w:iCs/>
      <w:sz w:val="21"/>
      <w:szCs w:val="21"/>
    </w:rPr>
  </w:style>
  <w:style w:type="character" w:styleId="732" w:customStyle="1">
    <w:name w:val="Title Char"/>
    <w:basedOn w:val="720"/>
    <w:uiPriority w:val="10"/>
    <w:rPr>
      <w:sz w:val="48"/>
      <w:szCs w:val="48"/>
    </w:rPr>
  </w:style>
  <w:style w:type="paragraph" w:styleId="733">
    <w:name w:val="Subtitle"/>
    <w:basedOn w:val="710"/>
    <w:next w:val="710"/>
    <w:link w:val="734"/>
    <w:uiPriority w:val="11"/>
    <w:qFormat/>
    <w:pPr>
      <w:spacing w:before="200" w:after="200"/>
    </w:pPr>
  </w:style>
  <w:style w:type="character" w:styleId="734" w:customStyle="1">
    <w:name w:val="Подзаголовок Знак"/>
    <w:basedOn w:val="720"/>
    <w:link w:val="733"/>
    <w:uiPriority w:val="11"/>
    <w:rPr>
      <w:sz w:val="24"/>
      <w:szCs w:val="24"/>
    </w:rPr>
  </w:style>
  <w:style w:type="paragraph" w:styleId="735">
    <w:name w:val="Quote"/>
    <w:basedOn w:val="710"/>
    <w:next w:val="710"/>
    <w:link w:val="736"/>
    <w:uiPriority w:val="29"/>
    <w:qFormat/>
    <w:pPr>
      <w:ind w:left="720" w:right="720"/>
    </w:pPr>
    <w:rPr>
      <w:i/>
    </w:rPr>
  </w:style>
  <w:style w:type="character" w:styleId="736" w:customStyle="1">
    <w:name w:val="Цитата 2 Знак"/>
    <w:link w:val="735"/>
    <w:uiPriority w:val="29"/>
    <w:rPr>
      <w:i/>
    </w:rPr>
  </w:style>
  <w:style w:type="paragraph" w:styleId="737">
    <w:name w:val="Intense Quote"/>
    <w:basedOn w:val="710"/>
    <w:next w:val="710"/>
    <w:link w:val="73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8" w:customStyle="1">
    <w:name w:val="Выделенная цитата Знак"/>
    <w:link w:val="737"/>
    <w:uiPriority w:val="30"/>
    <w:rPr>
      <w:i/>
    </w:rPr>
  </w:style>
  <w:style w:type="character" w:styleId="739" w:customStyle="1">
    <w:name w:val="Header Char"/>
    <w:basedOn w:val="720"/>
    <w:uiPriority w:val="99"/>
  </w:style>
  <w:style w:type="character" w:styleId="740" w:customStyle="1">
    <w:name w:val="Footer Char"/>
    <w:basedOn w:val="720"/>
    <w:uiPriority w:val="99"/>
  </w:style>
  <w:style w:type="paragraph" w:styleId="741">
    <w:name w:val="Caption"/>
    <w:basedOn w:val="710"/>
    <w:next w:val="710"/>
    <w:link w:val="74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42" w:customStyle="1">
    <w:name w:val="Название объекта Знак"/>
    <w:basedOn w:val="720"/>
    <w:link w:val="741"/>
    <w:uiPriority w:val="35"/>
    <w:rPr>
      <w:b/>
      <w:bCs/>
      <w:color w:val="4f81bd" w:themeColor="accent1"/>
      <w:sz w:val="18"/>
      <w:szCs w:val="18"/>
    </w:rPr>
  </w:style>
  <w:style w:type="table" w:styleId="743" w:customStyle="1">
    <w:name w:val="Table Grid Light"/>
    <w:basedOn w:val="721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4">
    <w:name w:val="Plain Table 1"/>
    <w:basedOn w:val="721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5">
    <w:name w:val="Plain Table 2"/>
    <w:basedOn w:val="72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6">
    <w:name w:val="Plain Table 3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7">
    <w:name w:val="Plain Table 4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Plain Table 5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9">
    <w:name w:val="Grid Table 1 Light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 w:customStyle="1">
    <w:name w:val="Grid Table 1 Light - Accent 1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 w:customStyle="1">
    <w:name w:val="Grid Table 1 Light - Accent 2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 w:customStyle="1">
    <w:name w:val="Grid Table 1 Light - Accent 3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 w:customStyle="1">
    <w:name w:val="Grid Table 1 Light - Accent 4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 w:customStyle="1">
    <w:name w:val="Grid Table 1 Light - Accent 5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 w:customStyle="1">
    <w:name w:val="Grid Table 1 Light - Accent 6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Grid Table 2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2 - Accent 1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2 - Accent 2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2 - Accent 3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2 - Accent 4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2 - Accent 5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2 - Accent 6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3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3 - Accent 1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3 - Accent 2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3 - Accent 3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3 - Accent 4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3 - Accent 5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3 - Accent 6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4"/>
    <w:basedOn w:val="7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1" w:customStyle="1">
    <w:name w:val="Grid Table 4 - Accent 1"/>
    <w:basedOn w:val="7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72" w:customStyle="1">
    <w:name w:val="Grid Table 4 - Accent 2"/>
    <w:basedOn w:val="7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73" w:customStyle="1">
    <w:name w:val="Grid Table 4 - Accent 3"/>
    <w:basedOn w:val="7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74" w:customStyle="1">
    <w:name w:val="Grid Table 4 - Accent 4"/>
    <w:basedOn w:val="7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75" w:customStyle="1">
    <w:name w:val="Grid Table 4 - Accent 5"/>
    <w:basedOn w:val="7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76" w:customStyle="1">
    <w:name w:val="Grid Table 4 - Accent 6"/>
    <w:basedOn w:val="7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77">
    <w:name w:val="Grid Table 5 Dark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78" w:customStyle="1">
    <w:name w:val="Grid Table 5 Dark- Accent 1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79" w:customStyle="1">
    <w:name w:val="Grid Table 5 Dark - Accent 2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80" w:customStyle="1">
    <w:name w:val="Grid Table 5 Dark - Accent 3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81" w:customStyle="1">
    <w:name w:val="Grid Table 5 Dark- Accent 4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82" w:customStyle="1">
    <w:name w:val="Grid Table 5 Dark - Accent 5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83" w:customStyle="1">
    <w:name w:val="Grid Table 5 Dark - Accent 6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84">
    <w:name w:val="Grid Table 6 Colorful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85" w:customStyle="1">
    <w:name w:val="Grid Table 6 Colorful - Accent 1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86" w:customStyle="1">
    <w:name w:val="Grid Table 6 Colorful - Accent 2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87" w:customStyle="1">
    <w:name w:val="Grid Table 6 Colorful - Accent 3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88" w:customStyle="1">
    <w:name w:val="Grid Table 6 Colorful - Accent 4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89" w:customStyle="1">
    <w:name w:val="Grid Table 6 Colorful - Accent 5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0" w:customStyle="1">
    <w:name w:val="Grid Table 6 Colorful - Accent 6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1">
    <w:name w:val="Grid Table 7 Colorful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Grid Table 7 Colorful - Accent 1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Grid Table 7 Colorful - Accent 2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7 Colorful - Accent 3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7 Colorful - Accent 4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7 Colorful - Accent 5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7 Colorful - Accent 6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1 Light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List Table 1 Light - Accent 1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List Table 1 Light - Accent 2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List Table 1 Light - Accent 3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List Table 1 Light - Accent 4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List Table 1 Light - Accent 5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List Table 1 Light - Accent 6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List Table 2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06" w:customStyle="1">
    <w:name w:val="List Table 2 - Accent 1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07" w:customStyle="1">
    <w:name w:val="List Table 2 - Accent 2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08" w:customStyle="1">
    <w:name w:val="List Table 2 - Accent 3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09" w:customStyle="1">
    <w:name w:val="List Table 2 - Accent 4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10" w:customStyle="1">
    <w:name w:val="List Table 2 - Accent 5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11" w:customStyle="1">
    <w:name w:val="List Table 2 - Accent 6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12">
    <w:name w:val="List Table 3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List Table 3 - Accent 1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List Table 3 - Accent 2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List Table 3 - Accent 3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List Table 3 - Accent 4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List Table 3 - Accent 5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List Table 3 - Accent 6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List Table 4 - Accent 1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List Table 4 - Accent 2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4 - Accent 3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List Table 4 - Accent 4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4 - Accent 5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4 - Accent 6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5 Dark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7" w:customStyle="1">
    <w:name w:val="List Table 5 Dark - Accent 1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8" w:customStyle="1">
    <w:name w:val="List Table 5 Dark - Accent 2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9" w:customStyle="1">
    <w:name w:val="List Table 5 Dark - Accent 3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0" w:customStyle="1">
    <w:name w:val="List Table 5 Dark - Accent 4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1" w:customStyle="1">
    <w:name w:val="List Table 5 Dark - Accent 5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2" w:customStyle="1">
    <w:name w:val="List Table 5 Dark - Accent 6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3">
    <w:name w:val="List Table 6 Colorful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34" w:customStyle="1">
    <w:name w:val="List Table 6 Colorful - Accent 1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35" w:customStyle="1">
    <w:name w:val="List Table 6 Colorful - Accent 2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36" w:customStyle="1">
    <w:name w:val="List Table 6 Colorful - Accent 3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37" w:customStyle="1">
    <w:name w:val="List Table 6 Colorful - Accent 4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38" w:customStyle="1">
    <w:name w:val="List Table 6 Colorful - Accent 5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39" w:customStyle="1">
    <w:name w:val="List Table 6 Colorful - Accent 6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40">
    <w:name w:val="List Table 7 Colorful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 w:customStyle="1">
    <w:name w:val="List Table 7 Colorful - Accent 1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 w:customStyle="1">
    <w:name w:val="List Table 7 Colorful - Accent 2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List Table 7 Colorful - Accent 3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List Table 7 Colorful - Accent 4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List Table 7 Colorful - Accent 5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List Table 7 Colorful - Accent 6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Lined - Accent"/>
    <w:basedOn w:val="7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8" w:customStyle="1">
    <w:name w:val="Lined - Accent 1"/>
    <w:basedOn w:val="7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49" w:customStyle="1">
    <w:name w:val="Lined - Accent 2"/>
    <w:basedOn w:val="7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50" w:customStyle="1">
    <w:name w:val="Lined - Accent 3"/>
    <w:basedOn w:val="7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51" w:customStyle="1">
    <w:name w:val="Lined - Accent 4"/>
    <w:basedOn w:val="7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52" w:customStyle="1">
    <w:name w:val="Lined - Accent 5"/>
    <w:basedOn w:val="7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53" w:customStyle="1">
    <w:name w:val="Lined - Accent 6"/>
    <w:basedOn w:val="7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54" w:customStyle="1">
    <w:name w:val="Bordered &amp; Lined - Accent"/>
    <w:basedOn w:val="7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5" w:customStyle="1">
    <w:name w:val="Bordered &amp; Lined - Accent 1"/>
    <w:basedOn w:val="7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56" w:customStyle="1">
    <w:name w:val="Bordered &amp; Lined - Accent 2"/>
    <w:basedOn w:val="7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57" w:customStyle="1">
    <w:name w:val="Bordered &amp; Lined - Accent 3"/>
    <w:basedOn w:val="7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58" w:customStyle="1">
    <w:name w:val="Bordered &amp; Lined - Accent 4"/>
    <w:basedOn w:val="7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59" w:customStyle="1">
    <w:name w:val="Bordered &amp; Lined - Accent 5"/>
    <w:basedOn w:val="7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60" w:customStyle="1">
    <w:name w:val="Bordered &amp; Lined - Accent 6"/>
    <w:basedOn w:val="7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61" w:customStyle="1">
    <w:name w:val="Bordered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62" w:customStyle="1">
    <w:name w:val="Bordered - Accent 1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63" w:customStyle="1">
    <w:name w:val="Bordered - Accent 2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64" w:customStyle="1">
    <w:name w:val="Bordered - Accent 3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65" w:customStyle="1">
    <w:name w:val="Bordered - Accent 4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66" w:customStyle="1">
    <w:name w:val="Bordered - Accent 5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67" w:customStyle="1">
    <w:name w:val="Bordered - Accent 6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68" w:customStyle="1">
    <w:name w:val="Footnote Text Char"/>
    <w:uiPriority w:val="99"/>
    <w:rPr>
      <w:sz w:val="18"/>
    </w:rPr>
  </w:style>
  <w:style w:type="paragraph" w:styleId="869">
    <w:name w:val="endnote text"/>
    <w:basedOn w:val="710"/>
    <w:link w:val="870"/>
    <w:uiPriority w:val="99"/>
    <w:semiHidden/>
    <w:unhideWhenUsed/>
    <w:rPr>
      <w:sz w:val="20"/>
    </w:rPr>
  </w:style>
  <w:style w:type="character" w:styleId="870" w:customStyle="1">
    <w:name w:val="Текст концевой сноски Знак"/>
    <w:link w:val="869"/>
    <w:uiPriority w:val="99"/>
    <w:rPr>
      <w:sz w:val="20"/>
    </w:rPr>
  </w:style>
  <w:style w:type="character" w:styleId="871">
    <w:name w:val="endnote reference"/>
    <w:basedOn w:val="720"/>
    <w:uiPriority w:val="99"/>
    <w:semiHidden/>
    <w:unhideWhenUsed/>
    <w:rPr>
      <w:vertAlign w:val="superscript"/>
    </w:rPr>
  </w:style>
  <w:style w:type="paragraph" w:styleId="872">
    <w:name w:val="toc 1"/>
    <w:basedOn w:val="710"/>
    <w:next w:val="710"/>
    <w:uiPriority w:val="39"/>
    <w:unhideWhenUsed/>
    <w:pPr>
      <w:spacing w:after="57"/>
    </w:pPr>
  </w:style>
  <w:style w:type="paragraph" w:styleId="873">
    <w:name w:val="toc 2"/>
    <w:basedOn w:val="710"/>
    <w:next w:val="710"/>
    <w:uiPriority w:val="39"/>
    <w:unhideWhenUsed/>
    <w:pPr>
      <w:ind w:left="283"/>
      <w:spacing w:after="57"/>
    </w:pPr>
  </w:style>
  <w:style w:type="paragraph" w:styleId="874">
    <w:name w:val="toc 3"/>
    <w:basedOn w:val="710"/>
    <w:next w:val="710"/>
    <w:uiPriority w:val="39"/>
    <w:unhideWhenUsed/>
    <w:pPr>
      <w:ind w:left="567"/>
      <w:spacing w:after="57"/>
    </w:pPr>
  </w:style>
  <w:style w:type="paragraph" w:styleId="875">
    <w:name w:val="toc 4"/>
    <w:basedOn w:val="710"/>
    <w:next w:val="710"/>
    <w:uiPriority w:val="39"/>
    <w:unhideWhenUsed/>
    <w:pPr>
      <w:ind w:left="850"/>
      <w:spacing w:after="57"/>
    </w:pPr>
  </w:style>
  <w:style w:type="paragraph" w:styleId="876">
    <w:name w:val="toc 5"/>
    <w:basedOn w:val="710"/>
    <w:next w:val="710"/>
    <w:uiPriority w:val="39"/>
    <w:unhideWhenUsed/>
    <w:pPr>
      <w:ind w:left="1134"/>
      <w:spacing w:after="57"/>
    </w:pPr>
  </w:style>
  <w:style w:type="paragraph" w:styleId="877">
    <w:name w:val="toc 6"/>
    <w:basedOn w:val="710"/>
    <w:next w:val="710"/>
    <w:uiPriority w:val="39"/>
    <w:unhideWhenUsed/>
    <w:pPr>
      <w:ind w:left="1417"/>
      <w:spacing w:after="57"/>
    </w:pPr>
  </w:style>
  <w:style w:type="paragraph" w:styleId="878">
    <w:name w:val="toc 7"/>
    <w:basedOn w:val="710"/>
    <w:next w:val="710"/>
    <w:uiPriority w:val="39"/>
    <w:unhideWhenUsed/>
    <w:pPr>
      <w:ind w:left="1701"/>
      <w:spacing w:after="57"/>
    </w:pPr>
  </w:style>
  <w:style w:type="paragraph" w:styleId="879">
    <w:name w:val="toc 8"/>
    <w:basedOn w:val="710"/>
    <w:next w:val="710"/>
    <w:uiPriority w:val="39"/>
    <w:unhideWhenUsed/>
    <w:pPr>
      <w:ind w:left="1984"/>
      <w:spacing w:after="57"/>
    </w:pPr>
  </w:style>
  <w:style w:type="paragraph" w:styleId="880">
    <w:name w:val="toc 9"/>
    <w:basedOn w:val="710"/>
    <w:next w:val="710"/>
    <w:uiPriority w:val="39"/>
    <w:unhideWhenUsed/>
    <w:pPr>
      <w:ind w:left="2268"/>
      <w:spacing w:after="57"/>
    </w:pPr>
  </w:style>
  <w:style w:type="paragraph" w:styleId="881">
    <w:name w:val="TOC Heading"/>
    <w:uiPriority w:val="39"/>
    <w:unhideWhenUsed/>
  </w:style>
  <w:style w:type="paragraph" w:styleId="882">
    <w:name w:val="table of figures"/>
    <w:basedOn w:val="710"/>
    <w:next w:val="710"/>
    <w:uiPriority w:val="99"/>
    <w:unhideWhenUsed/>
  </w:style>
  <w:style w:type="paragraph" w:styleId="883">
    <w:name w:val="List Paragraph"/>
    <w:basedOn w:val="710"/>
    <w:uiPriority w:val="34"/>
    <w:qFormat/>
    <w:pPr>
      <w:contextualSpacing/>
      <w:ind w:left="720"/>
    </w:pPr>
  </w:style>
  <w:style w:type="paragraph" w:styleId="884" w:customStyle="1">
    <w:name w:val="Стиль ис"/>
    <w:basedOn w:val="710"/>
    <w:link w:val="886"/>
    <w:qFormat/>
    <w:pPr>
      <w:ind w:firstLine="567"/>
      <w:jc w:val="both"/>
      <w:tabs>
        <w:tab w:val="left" w:pos="851" w:leader="none"/>
      </w:tabs>
    </w:pPr>
  </w:style>
  <w:style w:type="paragraph" w:styleId="885" w:customStyle="1">
    <w:name w:val="Стиль ИСС"/>
    <w:basedOn w:val="710"/>
    <w:link w:val="887"/>
    <w:qFormat/>
    <w:pPr>
      <w:ind w:firstLine="567"/>
      <w:jc w:val="both"/>
      <w:tabs>
        <w:tab w:val="left" w:pos="851" w:leader="none"/>
      </w:tabs>
    </w:pPr>
  </w:style>
  <w:style w:type="character" w:styleId="886" w:customStyle="1">
    <w:name w:val="Стиль ис Знак"/>
    <w:link w:val="884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87" w:customStyle="1">
    <w:name w:val="Стиль ИСС Знак"/>
    <w:link w:val="885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88" w:customStyle="1">
    <w:name w:val="ConsNormal"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character" w:styleId="889">
    <w:name w:val="Hyperlink"/>
    <w:uiPriority w:val="99"/>
    <w:unhideWhenUsed/>
    <w:rPr>
      <w:color w:val="0000ff"/>
      <w:u w:val="single"/>
    </w:rPr>
  </w:style>
  <w:style w:type="paragraph" w:styleId="890">
    <w:name w:val="Balloon Text"/>
    <w:basedOn w:val="710"/>
    <w:link w:val="891"/>
    <w:unhideWhenUsed/>
    <w:rPr>
      <w:rFonts w:ascii="Tahoma" w:hAnsi="Tahoma" w:cs="Tahoma"/>
      <w:sz w:val="16"/>
      <w:szCs w:val="16"/>
    </w:rPr>
  </w:style>
  <w:style w:type="character" w:styleId="891" w:customStyle="1">
    <w:name w:val="Текст выноски Знак"/>
    <w:basedOn w:val="720"/>
    <w:link w:val="890"/>
    <w:rPr>
      <w:rFonts w:ascii="Tahoma" w:hAnsi="Tahoma" w:eastAsia="Times New Roman" w:cs="Tahoma"/>
      <w:sz w:val="16"/>
      <w:szCs w:val="16"/>
      <w:lang w:eastAsia="ru-RU"/>
    </w:rPr>
  </w:style>
  <w:style w:type="paragraph" w:styleId="892" w:customStyle="1">
    <w:name w:val="Исполнитель"/>
    <w:basedOn w:val="893"/>
    <w:pPr>
      <w:ind w:firstLine="709"/>
      <w:jc w:val="both"/>
      <w:spacing w:after="0" w:line="240" w:lineRule="exact"/>
    </w:pPr>
    <w:rPr>
      <w:sz w:val="28"/>
      <w:szCs w:val="20"/>
    </w:rPr>
  </w:style>
  <w:style w:type="paragraph" w:styleId="893">
    <w:name w:val="Body Text"/>
    <w:basedOn w:val="710"/>
    <w:link w:val="894"/>
    <w:unhideWhenUsed/>
    <w:pPr>
      <w:spacing w:after="120"/>
    </w:pPr>
  </w:style>
  <w:style w:type="character" w:styleId="894" w:customStyle="1">
    <w:name w:val="Основной текст Знак"/>
    <w:basedOn w:val="720"/>
    <w:link w:val="893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95">
    <w:name w:val="No Spacing"/>
    <w:uiPriority w:val="1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96">
    <w:name w:val="footnote text"/>
    <w:basedOn w:val="710"/>
    <w:link w:val="897"/>
    <w:semiHidden/>
    <w:unhideWhenUsed/>
    <w:rPr>
      <w:sz w:val="20"/>
      <w:szCs w:val="20"/>
    </w:rPr>
  </w:style>
  <w:style w:type="character" w:styleId="897" w:customStyle="1">
    <w:name w:val="Текст сноски Знак"/>
    <w:basedOn w:val="720"/>
    <w:link w:val="896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898">
    <w:name w:val="footnote reference"/>
    <w:basedOn w:val="720"/>
    <w:uiPriority w:val="99"/>
    <w:semiHidden/>
    <w:unhideWhenUsed/>
    <w:rPr>
      <w:vertAlign w:val="superscript"/>
    </w:rPr>
  </w:style>
  <w:style w:type="paragraph" w:styleId="899" w:customStyle="1">
    <w:name w:val="ConsPlusNormal"/>
    <w:pPr>
      <w:spacing w:after="0" w:line="240" w:lineRule="auto"/>
      <w:widowControl w:val="off"/>
    </w:pPr>
    <w:rPr>
      <w:rFonts w:ascii="Arial" w:hAnsi="Arial" w:cs="Arial" w:eastAsiaTheme="minorEastAsia"/>
      <w:sz w:val="20"/>
      <w:szCs w:val="20"/>
      <w:lang w:eastAsia="ru-RU"/>
    </w:rPr>
  </w:style>
  <w:style w:type="paragraph" w:styleId="900" w:customStyle="1">
    <w:name w:val="СтильИС"/>
    <w:basedOn w:val="710"/>
    <w:link w:val="901"/>
    <w:qFormat/>
    <w:pPr>
      <w:ind w:right="21"/>
      <w:jc w:val="center"/>
    </w:pPr>
    <w:rPr>
      <w:sz w:val="22"/>
      <w:szCs w:val="22"/>
    </w:rPr>
  </w:style>
  <w:style w:type="character" w:styleId="901" w:customStyle="1">
    <w:name w:val="СтильИС Знак"/>
    <w:link w:val="900"/>
    <w:rPr>
      <w:rFonts w:ascii="Times New Roman" w:hAnsi="Times New Roman" w:eastAsia="Times New Roman" w:cs="Times New Roman"/>
      <w:lang w:eastAsia="ru-RU"/>
    </w:rPr>
  </w:style>
  <w:style w:type="character" w:styleId="902" w:customStyle="1">
    <w:name w:val="Заголовок 1 Знак"/>
    <w:basedOn w:val="720"/>
    <w:link w:val="711"/>
    <w:rPr>
      <w:rFonts w:ascii="Times New Roman" w:hAnsi="Times New Roman" w:eastAsia="Times New Roman" w:cs="Times New Roman"/>
      <w:b/>
      <w:bCs/>
      <w:sz w:val="18"/>
      <w:szCs w:val="24"/>
      <w:lang w:eastAsia="ru-RU"/>
    </w:rPr>
  </w:style>
  <w:style w:type="character" w:styleId="903" w:customStyle="1">
    <w:name w:val="Заголовок 2 Знак"/>
    <w:basedOn w:val="720"/>
    <w:link w:val="712"/>
    <w:rPr>
      <w:rFonts w:ascii="Times New Roman" w:hAnsi="Times New Roman" w:eastAsia="Times New Roman" w:cs="Times New Roman"/>
      <w:b/>
      <w:bCs/>
      <w:sz w:val="16"/>
      <w:szCs w:val="24"/>
      <w:lang w:eastAsia="ru-RU"/>
    </w:rPr>
  </w:style>
  <w:style w:type="character" w:styleId="904" w:customStyle="1">
    <w:name w:val="Заголовок 3 Знак"/>
    <w:basedOn w:val="720"/>
    <w:link w:val="713"/>
    <w:rPr>
      <w:rFonts w:ascii="Times New Roman" w:hAnsi="Times New Roman" w:eastAsia="Times New Roman" w:cs="Times New Roman"/>
      <w:b/>
      <w:bCs/>
      <w:sz w:val="20"/>
      <w:szCs w:val="24"/>
      <w:lang w:eastAsia="ru-RU"/>
    </w:rPr>
  </w:style>
  <w:style w:type="character" w:styleId="905" w:customStyle="1">
    <w:name w:val="Заголовок 6 Знак"/>
    <w:basedOn w:val="720"/>
    <w:link w:val="716"/>
    <w:rPr>
      <w:rFonts w:ascii="Times New Roman" w:hAnsi="Times New Roman" w:eastAsia="Times New Roman" w:cs="Times New Roman"/>
      <w:b/>
      <w:bCs/>
      <w:sz w:val="20"/>
      <w:szCs w:val="24"/>
      <w:lang w:eastAsia="ru-RU"/>
    </w:rPr>
  </w:style>
  <w:style w:type="character" w:styleId="906" w:customStyle="1">
    <w:name w:val="defaultlabelstyle3"/>
    <w:rPr>
      <w:rFonts w:hint="default" w:ascii="Trebuchet MS" w:hAnsi="Trebuchet MS"/>
      <w:color w:val="333333"/>
    </w:rPr>
  </w:style>
  <w:style w:type="paragraph" w:styleId="907" w:customStyle="1">
    <w:name w:val="Стиль ИС"/>
    <w:basedOn w:val="710"/>
    <w:link w:val="908"/>
    <w:qFormat/>
    <w:pPr>
      <w:ind w:right="21"/>
      <w:jc w:val="both"/>
    </w:pPr>
    <w:rPr>
      <w:sz w:val="22"/>
      <w:szCs w:val="22"/>
    </w:rPr>
  </w:style>
  <w:style w:type="character" w:styleId="908" w:customStyle="1">
    <w:name w:val="Стиль ИС Знак"/>
    <w:link w:val="907"/>
    <w:rPr>
      <w:rFonts w:ascii="Times New Roman" w:hAnsi="Times New Roman" w:eastAsia="Times New Roman" w:cs="Times New Roman"/>
      <w:lang w:eastAsia="ru-RU"/>
    </w:rPr>
  </w:style>
  <w:style w:type="paragraph" w:styleId="909" w:customStyle="1">
    <w:name w:val="ис"/>
    <w:basedOn w:val="710"/>
    <w:link w:val="910"/>
    <w:qFormat/>
    <w:pPr>
      <w:ind w:left="142" w:right="-2"/>
      <w:jc w:val="center"/>
    </w:pPr>
    <w:rPr>
      <w:b/>
    </w:rPr>
  </w:style>
  <w:style w:type="character" w:styleId="910" w:customStyle="1">
    <w:name w:val="ис Знак"/>
    <w:link w:val="909"/>
    <w:rPr>
      <w:rFonts w:ascii="Times New Roman" w:hAnsi="Times New Roman" w:eastAsia="Times New Roman" w:cs="Times New Roman"/>
      <w:b/>
      <w:sz w:val="24"/>
      <w:szCs w:val="24"/>
      <w:lang w:eastAsia="ru-RU"/>
    </w:rPr>
  </w:style>
  <w:style w:type="paragraph" w:styleId="911">
    <w:name w:val="List Bullet"/>
    <w:basedOn w:val="710"/>
    <w:unhideWhenUsed/>
    <w:pPr>
      <w:jc w:val="both"/>
    </w:pPr>
    <w:rPr>
      <w:bCs/>
      <w:sz w:val="28"/>
      <w:szCs w:val="28"/>
    </w:rPr>
  </w:style>
  <w:style w:type="numbering" w:styleId="912" w:customStyle="1">
    <w:name w:val="Нет списка1"/>
    <w:next w:val="722"/>
    <w:semiHidden/>
  </w:style>
  <w:style w:type="paragraph" w:styleId="913" w:customStyle="1">
    <w:name w:val="Заголовок к тексту"/>
    <w:basedOn w:val="710"/>
    <w:next w:val="893"/>
    <w:pPr>
      <w:spacing w:after="480" w:line="240" w:lineRule="exact"/>
    </w:pPr>
    <w:rPr>
      <w:b/>
      <w:sz w:val="28"/>
      <w:szCs w:val="20"/>
    </w:rPr>
  </w:style>
  <w:style w:type="paragraph" w:styleId="914" w:customStyle="1">
    <w:name w:val="регистрационные поля"/>
    <w:basedOn w:val="710"/>
    <w:pPr>
      <w:jc w:val="center"/>
      <w:spacing w:line="240" w:lineRule="exact"/>
    </w:pPr>
    <w:rPr>
      <w:sz w:val="28"/>
      <w:szCs w:val="20"/>
      <w:lang w:val="en-US"/>
    </w:rPr>
  </w:style>
  <w:style w:type="paragraph" w:styleId="915">
    <w:name w:val="Footer"/>
    <w:basedOn w:val="710"/>
    <w:link w:val="916"/>
    <w:pPr>
      <w:tabs>
        <w:tab w:val="center" w:pos="4677" w:leader="none"/>
        <w:tab w:val="right" w:pos="9355" w:leader="none"/>
      </w:tabs>
    </w:pPr>
    <w:rPr>
      <w:sz w:val="28"/>
      <w:szCs w:val="20"/>
    </w:rPr>
  </w:style>
  <w:style w:type="character" w:styleId="916" w:customStyle="1">
    <w:name w:val="Нижний колонтитул Знак"/>
    <w:basedOn w:val="720"/>
    <w:link w:val="915"/>
    <w:rPr>
      <w:rFonts w:ascii="Times New Roman" w:hAnsi="Times New Roman" w:eastAsia="Times New Roman" w:cs="Times New Roman"/>
      <w:sz w:val="28"/>
      <w:szCs w:val="20"/>
    </w:rPr>
  </w:style>
  <w:style w:type="paragraph" w:styleId="917" w:customStyle="1">
    <w:name w:val="Подпись на  бланке должностного лица"/>
    <w:basedOn w:val="710"/>
    <w:next w:val="893"/>
    <w:pPr>
      <w:ind w:left="7088"/>
      <w:spacing w:before="480" w:line="240" w:lineRule="exact"/>
    </w:pPr>
    <w:rPr>
      <w:sz w:val="28"/>
      <w:szCs w:val="20"/>
    </w:rPr>
  </w:style>
  <w:style w:type="paragraph" w:styleId="918">
    <w:name w:val="Signature"/>
    <w:basedOn w:val="710"/>
    <w:next w:val="893"/>
    <w:link w:val="919"/>
    <w:pPr>
      <w:spacing w:before="480" w:line="240" w:lineRule="exact"/>
      <w:tabs>
        <w:tab w:val="left" w:pos="5103" w:leader="none"/>
        <w:tab w:val="right" w:pos="9639" w:leader="none"/>
      </w:tabs>
    </w:pPr>
    <w:rPr>
      <w:sz w:val="28"/>
      <w:szCs w:val="20"/>
    </w:rPr>
  </w:style>
  <w:style w:type="character" w:styleId="919" w:customStyle="1">
    <w:name w:val="Подпись Знак"/>
    <w:basedOn w:val="720"/>
    <w:link w:val="918"/>
    <w:rPr>
      <w:rFonts w:ascii="Times New Roman" w:hAnsi="Times New Roman" w:eastAsia="Times New Roman" w:cs="Times New Roman"/>
      <w:sz w:val="28"/>
      <w:szCs w:val="20"/>
    </w:rPr>
  </w:style>
  <w:style w:type="paragraph" w:styleId="920" w:customStyle="1">
    <w:name w:val="Приложение"/>
    <w:basedOn w:val="893"/>
    <w:pPr>
      <w:ind w:left="1985" w:hanging="1985"/>
      <w:jc w:val="both"/>
      <w:spacing w:before="240" w:after="0" w:line="240" w:lineRule="exact"/>
      <w:tabs>
        <w:tab w:val="left" w:pos="1673" w:leader="none"/>
      </w:tabs>
    </w:pPr>
    <w:rPr>
      <w:sz w:val="28"/>
      <w:szCs w:val="20"/>
    </w:rPr>
  </w:style>
  <w:style w:type="paragraph" w:styleId="921">
    <w:name w:val="Block Text"/>
    <w:basedOn w:val="710"/>
    <w:pPr>
      <w:ind w:left="72" w:right="4855"/>
      <w:jc w:val="center"/>
      <w:tabs>
        <w:tab w:val="left" w:pos="72" w:leader="none"/>
        <w:tab w:val="left" w:pos="3960" w:leader="none"/>
        <w:tab w:val="left" w:pos="6192" w:leader="none"/>
      </w:tabs>
    </w:pPr>
    <w:rPr>
      <w:b/>
      <w:bCs/>
      <w:sz w:val="20"/>
    </w:rPr>
  </w:style>
  <w:style w:type="numbering" w:styleId="922" w:customStyle="1">
    <w:name w:val="Нет списка2"/>
    <w:next w:val="722"/>
    <w:semiHidden/>
  </w:style>
  <w:style w:type="paragraph" w:styleId="923">
    <w:name w:val="Header"/>
    <w:basedOn w:val="710"/>
    <w:link w:val="924"/>
    <w:uiPriority w:val="99"/>
    <w:unhideWhenUsed/>
    <w:pPr>
      <w:spacing w:after="200" w:line="276" w:lineRule="auto"/>
      <w:tabs>
        <w:tab w:val="center" w:pos="4677" w:leader="none"/>
        <w:tab w:val="right" w:pos="9355" w:leader="none"/>
      </w:tabs>
    </w:pPr>
    <w:rPr>
      <w:rFonts w:ascii="Calibri" w:hAnsi="Calibri" w:eastAsia="Calibri"/>
      <w:sz w:val="22"/>
      <w:szCs w:val="22"/>
      <w:lang w:eastAsia="en-US"/>
    </w:rPr>
  </w:style>
  <w:style w:type="character" w:styleId="924" w:customStyle="1">
    <w:name w:val="Верхний колонтитул Знак"/>
    <w:basedOn w:val="720"/>
    <w:link w:val="923"/>
    <w:uiPriority w:val="99"/>
    <w:rPr>
      <w:rFonts w:ascii="Calibri" w:hAnsi="Calibri" w:eastAsia="Calibri" w:cs="Times New Roman"/>
    </w:rPr>
  </w:style>
  <w:style w:type="character" w:styleId="925">
    <w:name w:val="annotation reference"/>
    <w:uiPriority w:val="99"/>
    <w:semiHidden/>
    <w:unhideWhenUsed/>
    <w:rPr>
      <w:sz w:val="16"/>
      <w:szCs w:val="16"/>
    </w:rPr>
  </w:style>
  <w:style w:type="paragraph" w:styleId="926">
    <w:name w:val="annotation text"/>
    <w:basedOn w:val="710"/>
    <w:link w:val="927"/>
    <w:uiPriority w:val="99"/>
    <w:semiHidden/>
    <w:unhideWhenUsed/>
    <w:pPr>
      <w:spacing w:after="200" w:line="276" w:lineRule="auto"/>
    </w:pPr>
    <w:rPr>
      <w:rFonts w:ascii="Calibri" w:hAnsi="Calibri" w:eastAsia="Calibri"/>
      <w:sz w:val="20"/>
      <w:szCs w:val="20"/>
      <w:lang w:eastAsia="en-US"/>
    </w:rPr>
  </w:style>
  <w:style w:type="character" w:styleId="927" w:customStyle="1">
    <w:name w:val="Текст примечания Знак"/>
    <w:basedOn w:val="720"/>
    <w:link w:val="926"/>
    <w:uiPriority w:val="99"/>
    <w:semiHidden/>
    <w:rPr>
      <w:rFonts w:ascii="Calibri" w:hAnsi="Calibri" w:eastAsia="Calibri" w:cs="Times New Roman"/>
      <w:sz w:val="20"/>
      <w:szCs w:val="20"/>
    </w:rPr>
  </w:style>
  <w:style w:type="paragraph" w:styleId="928">
    <w:name w:val="annotation subject"/>
    <w:basedOn w:val="926"/>
    <w:next w:val="926"/>
    <w:link w:val="929"/>
    <w:uiPriority w:val="99"/>
    <w:semiHidden/>
    <w:unhideWhenUsed/>
    <w:rPr>
      <w:b/>
      <w:bCs/>
    </w:rPr>
  </w:style>
  <w:style w:type="character" w:styleId="929" w:customStyle="1">
    <w:name w:val="Тема примечания Знак"/>
    <w:basedOn w:val="927"/>
    <w:link w:val="928"/>
    <w:uiPriority w:val="99"/>
    <w:semiHidden/>
    <w:rPr>
      <w:rFonts w:ascii="Calibri" w:hAnsi="Calibri" w:eastAsia="Calibri" w:cs="Times New Roman"/>
      <w:b/>
      <w:bCs/>
      <w:sz w:val="20"/>
      <w:szCs w:val="20"/>
    </w:rPr>
  </w:style>
  <w:style w:type="table" w:styleId="930">
    <w:name w:val="Table Grid"/>
    <w:basedOn w:val="721"/>
    <w:uiPriority w:val="59"/>
    <w:pPr>
      <w:spacing w:after="0" w:line="240" w:lineRule="auto"/>
    </w:pPr>
    <w:rPr>
      <w:rFonts w:ascii="Calibri" w:hAnsi="Calibri" w:eastAsia="Calibri" w:cs="Times New Roma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numbering" w:styleId="931" w:customStyle="1">
    <w:name w:val="Нет списка3"/>
    <w:next w:val="722"/>
    <w:uiPriority w:val="99"/>
    <w:semiHidden/>
    <w:unhideWhenUsed/>
  </w:style>
  <w:style w:type="numbering" w:styleId="932" w:customStyle="1">
    <w:name w:val="Нет списка11"/>
    <w:next w:val="722"/>
    <w:semiHidden/>
  </w:style>
  <w:style w:type="paragraph" w:styleId="933">
    <w:name w:val="Title"/>
    <w:basedOn w:val="710"/>
    <w:next w:val="710"/>
    <w:link w:val="934"/>
    <w:uiPriority w:val="10"/>
    <w:qFormat/>
    <w:pPr>
      <w:jc w:val="center"/>
      <w:spacing w:before="240" w:after="60" w:line="276" w:lineRule="auto"/>
      <w:outlineLvl w:val="0"/>
    </w:pPr>
    <w:rPr>
      <w:rFonts w:ascii="Cambria" w:hAnsi="Cambria"/>
      <w:b/>
      <w:bCs/>
      <w:sz w:val="32"/>
      <w:szCs w:val="32"/>
      <w:lang w:eastAsia="en-US"/>
    </w:rPr>
  </w:style>
  <w:style w:type="character" w:styleId="934" w:customStyle="1">
    <w:name w:val="Название Знак"/>
    <w:basedOn w:val="720"/>
    <w:link w:val="933"/>
    <w:uiPriority w:val="10"/>
    <w:rPr>
      <w:rFonts w:ascii="Cambria" w:hAnsi="Cambria" w:eastAsia="Times New Roman" w:cs="Times New Roman"/>
      <w:b/>
      <w:bCs/>
      <w:sz w:val="32"/>
      <w:szCs w:val="32"/>
    </w:rPr>
  </w:style>
  <w:style w:type="paragraph" w:styleId="935">
    <w:name w:val="Body Text Indent"/>
    <w:basedOn w:val="710"/>
    <w:link w:val="936"/>
    <w:uiPriority w:val="99"/>
    <w:unhideWhenUsed/>
    <w:pPr>
      <w:ind w:left="283"/>
      <w:spacing w:after="120"/>
    </w:pPr>
  </w:style>
  <w:style w:type="character" w:styleId="936" w:customStyle="1">
    <w:name w:val="Основной текст с отступом Знак"/>
    <w:basedOn w:val="720"/>
    <w:link w:val="935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37">
    <w:name w:val="Body Text Indent 2"/>
    <w:basedOn w:val="710"/>
    <w:link w:val="938"/>
    <w:uiPriority w:val="99"/>
    <w:semiHidden/>
    <w:unhideWhenUsed/>
    <w:pPr>
      <w:ind w:left="283"/>
      <w:spacing w:after="120" w:line="480" w:lineRule="auto"/>
    </w:pPr>
  </w:style>
  <w:style w:type="character" w:styleId="938" w:customStyle="1">
    <w:name w:val="Основной текст с отступом 2 Знак"/>
    <w:basedOn w:val="720"/>
    <w:link w:val="937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39" w:customStyle="1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940" w:customStyle="1">
    <w:name w:val="Обычный1"/>
    <w:pPr>
      <w:ind w:left="40" w:firstLine="100"/>
      <w:jc w:val="both"/>
      <w:spacing w:after="0" w:line="240" w:lineRule="auto"/>
      <w:widowControl w:val="off"/>
    </w:pPr>
    <w:rPr>
      <w:rFonts w:ascii="Arial" w:hAnsi="Arial" w:eastAsia="Times New Roman" w:cs="Times New Roman"/>
      <w:sz w:val="16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://utp.sberbank-ast.ru/AP/Notice/652/Instructions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7326B8-3680-434B-89B5-A4CBA0E5A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 Сергей Григорьевич</dc:creator>
  <cp:keywords/>
  <dc:description/>
  <cp:lastModifiedBy>osleskova@pk.gov</cp:lastModifiedBy>
  <cp:revision>8</cp:revision>
  <dcterms:created xsi:type="dcterms:W3CDTF">2026-09-08T12:17:00Z</dcterms:created>
  <dcterms:modified xsi:type="dcterms:W3CDTF">2026-10-13T10:29:02Z</dcterms:modified>
</cp:coreProperties>
</file>