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keepNext/>
        <w:spacing w:line="26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ИНФОРМАЦИОННОЕ СООБЩЕНИЕ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5"/>
        <w:jc w:val="center"/>
        <w:spacing w:line="260" w:lineRule="exac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 продаже государственного имущества </w:t>
      </w:r>
      <w:r>
        <w:rPr>
          <w:sz w:val="28"/>
          <w:szCs w:val="28"/>
        </w:rPr>
        <w:t xml:space="preserve">Пермского края в порядке </w:t>
      </w:r>
      <w:r>
        <w:rPr>
          <w:sz w:val="28"/>
          <w:szCs w:val="28"/>
        </w:rPr>
        <w:br/>
        <w:t xml:space="preserve">приватизации на аукционе</w:t>
      </w:r>
      <w:r>
        <w:rPr>
          <w:rFonts w:eastAsiaTheme="minorEastAsia"/>
          <w:sz w:val="28"/>
          <w:szCs w:val="28"/>
        </w:rPr>
        <w:t xml:space="preserve"> в электронной форме</w:t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895"/>
        <w:ind w:firstLine="709"/>
        <w:jc w:val="center"/>
        <w:spacing w:line="280" w:lineRule="exac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Министерство по управлению имуществом и градостроительной деятельности Пермского края (далее – Продавец) сообщает о продаже </w:t>
      </w:r>
      <w:r>
        <w:rPr>
          <w:rFonts w:eastAsiaTheme="minorEastAsia"/>
          <w:sz w:val="28"/>
          <w:szCs w:val="28"/>
        </w:rPr>
        <w:t xml:space="preserve">краевого имущества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порядке приватизации на аукционе в электронной форме.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1. Наименование государственного органа, принявшего решение </w:t>
      </w:r>
      <w:r>
        <w:rPr>
          <w:b/>
          <w:sz w:val="28"/>
          <w:szCs w:val="28"/>
        </w:rPr>
        <w:br/>
        <w:t xml:space="preserve">об условиях приватизации краевого имущества, реквизиты указанного решения:</w:t>
      </w:r>
      <w:r>
        <w:rPr>
          <w:sz w:val="28"/>
          <w:szCs w:val="28"/>
        </w:rPr>
        <w:t xml:space="preserve"> Министерство по управлению имуществом и градостроительной деятельности Пермского края; приказ </w:t>
      </w:r>
      <w:r>
        <w:rPr>
          <w:sz w:val="28"/>
          <w:szCs w:val="28"/>
        </w:rPr>
        <w:t xml:space="preserve">Министерства по</w:t>
      </w:r>
      <w:r>
        <w:rPr>
          <w:sz w:val="28"/>
          <w:szCs w:val="28"/>
          <w:highlight w:val="white"/>
        </w:rPr>
        <w:t xml:space="preserve"> управлению имуществом</w:t>
      </w:r>
      <w:r>
        <w:rPr>
          <w:sz w:val="28"/>
          <w:szCs w:val="28"/>
          <w:highlight w:val="white"/>
        </w:rPr>
        <w:br/>
        <w:t xml:space="preserve">и градостроительной деятельности Пермского края </w:t>
      </w:r>
      <w:r>
        <w:rPr>
          <w:sz w:val="28"/>
          <w:szCs w:val="28"/>
          <w:highlight w:val="white"/>
        </w:rPr>
        <w:t xml:space="preserve">от 18 сентября</w:t>
      </w:r>
      <w:r>
        <w:rPr>
          <w:sz w:val="28"/>
          <w:szCs w:val="28"/>
          <w:highlight w:val="white"/>
        </w:rPr>
        <w:t xml:space="preserve"> 202</w:t>
      </w:r>
      <w:r>
        <w:rPr>
          <w:sz w:val="28"/>
          <w:szCs w:val="28"/>
          <w:highlight w:val="white"/>
        </w:rPr>
        <w:t xml:space="preserve">6</w:t>
      </w:r>
      <w:r>
        <w:rPr>
          <w:sz w:val="28"/>
          <w:szCs w:val="28"/>
          <w:highlight w:val="white"/>
        </w:rPr>
        <w:t xml:space="preserve"> г.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№ </w:t>
      </w:r>
      <w:r>
        <w:rPr>
          <w:sz w:val="28"/>
          <w:szCs w:val="28"/>
          <w:highlight w:val="white"/>
        </w:rPr>
        <w:t xml:space="preserve">31-02-1-4-2189</w:t>
      </w:r>
      <w:r>
        <w:rPr>
          <w:sz w:val="28"/>
          <w:szCs w:val="28"/>
          <w:highlight w:val="white"/>
        </w:rPr>
        <w:t xml:space="preserve"> «Об условиях приватизации имущ</w:t>
      </w:r>
      <w:r>
        <w:rPr>
          <w:sz w:val="28"/>
          <w:szCs w:val="28"/>
        </w:rPr>
        <w:t xml:space="preserve">ества Пермского края </w:t>
      </w:r>
      <w:r>
        <w:rPr>
          <w:sz w:val="28"/>
          <w:szCs w:val="28"/>
        </w:rPr>
        <w:br/>
        <w:t xml:space="preserve">на аукционе в электронной форме».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Наименование, место нахождения, почтовый адрес, адрес электронной почты, номер контактного телефона Продавца: </w:t>
      </w:r>
      <w:r>
        <w:rPr>
          <w:sz w:val="28"/>
          <w:szCs w:val="28"/>
        </w:rPr>
        <w:t xml:space="preserve">Министерство по управлению имуществом и градостроительной деятельности Пермского края; 614000, Пермский край, г. Пермь, ул. Сибирская, д. 30а, корпус А; электронная почта: </w:t>
      </w:r>
      <w:r>
        <w:rPr>
          <w:sz w:val="28"/>
          <w:szCs w:val="28"/>
          <w:lang w:val="en-US"/>
        </w:rPr>
        <w:t xml:space="preserve">nazubareva</w:t>
      </w:r>
      <w:r>
        <w:rPr>
          <w:sz w:val="28"/>
          <w:szCs w:val="28"/>
        </w:rPr>
        <w:t xml:space="preserve">@</w:t>
      </w:r>
      <w:r>
        <w:rPr>
          <w:sz w:val="28"/>
          <w:szCs w:val="28"/>
          <w:lang w:val="en-US"/>
        </w:rPr>
        <w:t xml:space="preserve">auprim</w:t>
      </w:r>
      <w:r>
        <w:rPr>
          <w:sz w:val="28"/>
          <w:szCs w:val="28"/>
        </w:rPr>
        <w:t xml:space="preserve">.permkra</w:t>
      </w:r>
      <w:r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</w:rPr>
        <w:t xml:space="preserve">.ru; номер контактного тел.: (342) 2110467 (доб. 1168); факс: (342) 211 04 02.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Наименование краевого имущества и иные позволяющие </w:t>
      </w:r>
      <w:r>
        <w:rPr>
          <w:b/>
          <w:sz w:val="28"/>
          <w:szCs w:val="28"/>
        </w:rPr>
        <w:br/>
        <w:t xml:space="preserve">его индивидуализировать сведения (спецификация лота):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rFonts w:eastAsiaTheme="minorHAnsi"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Лот №1.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Помещение: контора, кадастровый номер 59:30:0000000:949, назначение: нежилое, площадь: 40,9 кв. м, по адресу: Российская Федерация, Пермский край, г.о. Оханский, г. Оханск, ул. Винокурова, д. 1</w:t>
      </w:r>
      <w:r>
        <w:rPr>
          <w:rFonts w:eastAsiaTheme="minorHAnsi"/>
          <w:color w:val="000000"/>
          <w:sz w:val="28"/>
          <w:szCs w:val="28"/>
          <w:lang w:eastAsia="en-US"/>
        </w:rPr>
      </w:r>
      <w:r>
        <w:rPr>
          <w:rFonts w:eastAsiaTheme="minorHAnsi"/>
          <w:color w:val="000000"/>
          <w:sz w:val="28"/>
          <w:szCs w:val="28"/>
          <w:lang w:eastAsia="en-US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Начальная цена продажи краевого имущества: </w:t>
      </w:r>
      <w:r>
        <w:rPr>
          <w:sz w:val="28"/>
          <w:szCs w:val="28"/>
        </w:rPr>
        <w:t xml:space="preserve">62 000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Шестьдесят две тысяч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) рублей 00 копеек с учетом НДС.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Величина повышения начальной цены («шаг аукциона»): </w:t>
      </w:r>
      <w:r>
        <w:rPr>
          <w:sz w:val="28"/>
          <w:szCs w:val="28"/>
        </w:rPr>
        <w:t xml:space="preserve">3 100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Три тысячи сто</w:t>
      </w:r>
      <w:r>
        <w:rPr>
          <w:sz w:val="28"/>
          <w:szCs w:val="28"/>
        </w:rPr>
        <w:t xml:space="preserve">) рублей 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0 копеек с учетом НДС, что составляет 5% от начальной цены продажи.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Размер задатка: </w:t>
      </w:r>
      <w:r>
        <w:rPr>
          <w:sz w:val="28"/>
          <w:szCs w:val="28"/>
        </w:rPr>
        <w:t xml:space="preserve">6 200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Шесть тысяч двести</w:t>
      </w:r>
      <w:r>
        <w:rPr>
          <w:sz w:val="28"/>
          <w:szCs w:val="28"/>
        </w:rPr>
        <w:t xml:space="preserve">) рублей 00 копеек, что составляет 10% от начальной цены продажи.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rFonts w:eastAsiaTheme="minorHAnsi"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Лот №2.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помещение, кадастровый номер 59:01:1011476:217, назначение: нежилое, площадь: 59,9 кв. м по адресу: Пермский край, г. Пермь, Орджоникидзевский район, ул. Водозаборная, д. 3</w:t>
      </w:r>
      <w:r>
        <w:rPr>
          <w:rFonts w:eastAsiaTheme="minorHAnsi"/>
          <w:color w:val="000000"/>
          <w:sz w:val="28"/>
          <w:szCs w:val="28"/>
          <w:lang w:eastAsia="en-US"/>
        </w:rPr>
      </w:r>
      <w:r>
        <w:rPr>
          <w:rFonts w:eastAsiaTheme="minorHAnsi"/>
          <w:color w:val="000000"/>
          <w:sz w:val="28"/>
          <w:szCs w:val="28"/>
          <w:lang w:eastAsia="en-US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Начальная цена продажи краевого имущества: </w:t>
      </w:r>
      <w:r>
        <w:rPr>
          <w:sz w:val="28"/>
          <w:szCs w:val="28"/>
        </w:rPr>
        <w:t xml:space="preserve">2 610 000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Два миллиона шестьсот десять тысяч</w:t>
      </w:r>
      <w:r>
        <w:rPr>
          <w:sz w:val="28"/>
          <w:szCs w:val="28"/>
        </w:rPr>
        <w:t xml:space="preserve">) рублей </w:t>
      </w:r>
      <w:r>
        <w:rPr>
          <w:sz w:val="28"/>
          <w:szCs w:val="28"/>
        </w:rPr>
        <w:t xml:space="preserve">00</w:t>
      </w:r>
      <w:r>
        <w:rPr>
          <w:sz w:val="28"/>
          <w:szCs w:val="28"/>
        </w:rPr>
        <w:t xml:space="preserve"> копе</w:t>
      </w:r>
      <w:r>
        <w:rPr>
          <w:sz w:val="28"/>
          <w:szCs w:val="28"/>
        </w:rPr>
        <w:t xml:space="preserve">ек</w:t>
      </w:r>
      <w:r>
        <w:rPr>
          <w:sz w:val="28"/>
          <w:szCs w:val="28"/>
        </w:rPr>
        <w:t xml:space="preserve"> с учетом НДС.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Величина повышения начальной цены («шаг аукциона»): </w:t>
      </w:r>
      <w:r>
        <w:rPr>
          <w:sz w:val="28"/>
          <w:szCs w:val="28"/>
        </w:rPr>
        <w:t xml:space="preserve">130 500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Сто тридцать тысяч пятьсот</w:t>
      </w:r>
      <w:r>
        <w:rPr>
          <w:sz w:val="28"/>
          <w:szCs w:val="28"/>
        </w:rPr>
        <w:t xml:space="preserve">) рубл</w:t>
      </w:r>
      <w:r>
        <w:rPr>
          <w:sz w:val="28"/>
          <w:szCs w:val="28"/>
        </w:rPr>
        <w:t xml:space="preserve">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00</w:t>
      </w:r>
      <w:r>
        <w:rPr>
          <w:sz w:val="28"/>
          <w:szCs w:val="28"/>
        </w:rPr>
        <w:t xml:space="preserve"> копе</w:t>
      </w:r>
      <w:r>
        <w:rPr>
          <w:sz w:val="28"/>
          <w:szCs w:val="28"/>
        </w:rPr>
        <w:t xml:space="preserve">ек</w:t>
      </w:r>
      <w:r>
        <w:rPr>
          <w:sz w:val="28"/>
          <w:szCs w:val="28"/>
        </w:rPr>
        <w:t xml:space="preserve"> с учетом НДС, что составляет 5% от начальной цены продажи.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Размер задатка: </w:t>
      </w:r>
      <w:r>
        <w:rPr>
          <w:sz w:val="28"/>
          <w:szCs w:val="28"/>
        </w:rPr>
        <w:t xml:space="preserve">261 000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Двести шестьдесят одна тысяча</w:t>
      </w:r>
      <w:r>
        <w:rPr>
          <w:sz w:val="28"/>
          <w:szCs w:val="28"/>
        </w:rPr>
        <w:t xml:space="preserve">) рублей</w:t>
      </w:r>
      <w:r>
        <w:rPr>
          <w:sz w:val="28"/>
          <w:szCs w:val="28"/>
        </w:rPr>
        <w:t xml:space="preserve"> 00</w:t>
      </w:r>
      <w:r>
        <w:rPr>
          <w:sz w:val="28"/>
          <w:szCs w:val="28"/>
        </w:rPr>
        <w:t xml:space="preserve"> копе</w:t>
      </w:r>
      <w:r>
        <w:rPr>
          <w:sz w:val="28"/>
          <w:szCs w:val="28"/>
        </w:rPr>
        <w:t xml:space="preserve">ек</w:t>
      </w:r>
      <w:r>
        <w:rPr>
          <w:sz w:val="28"/>
          <w:szCs w:val="28"/>
        </w:rPr>
        <w:t xml:space="preserve">, что составляет 10% от начальной цены продажи.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rFonts w:eastAsiaTheme="minorHAnsi"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Лот №</w:t>
      </w:r>
      <w:r>
        <w:rPr>
          <w:b/>
          <w:sz w:val="28"/>
          <w:szCs w:val="28"/>
        </w:rPr>
        <w:t xml:space="preserve">3</w:t>
      </w:r>
      <w:r>
        <w:rPr>
          <w:b/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Здание, кадастровый номер 59:20</w:t>
      </w:r>
      <w:r>
        <w:rPr>
          <w:sz w:val="28"/>
          <w:szCs w:val="28"/>
        </w:rPr>
        <w:t xml:space="preserve">:0000000:1565, назначение: нежилое, площадь: 647,8 кв. м, с земельным участком с кадастровым номером 59:20:1700101:59, площадью: 4 351 кв. м, по адресу: Российская Федерация, Пермский край, муниципальный округ Ильинский, село Кривец, улица Гагарина, дом 10</w:t>
      </w:r>
      <w:r>
        <w:rPr>
          <w:rFonts w:eastAsiaTheme="minorHAnsi"/>
          <w:color w:val="000000"/>
          <w:sz w:val="28"/>
          <w:szCs w:val="28"/>
          <w:lang w:eastAsia="en-US"/>
        </w:rPr>
      </w:r>
      <w:r>
        <w:rPr>
          <w:rFonts w:eastAsiaTheme="minorHAnsi"/>
          <w:color w:val="000000"/>
          <w:sz w:val="28"/>
          <w:szCs w:val="28"/>
          <w:lang w:eastAsia="en-US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Начальная цена продажи краевого имущества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1 916 000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Один миллион девятьсот шестнадцать тысяч</w:t>
      </w:r>
      <w:r>
        <w:rPr>
          <w:sz w:val="28"/>
          <w:szCs w:val="28"/>
        </w:rPr>
        <w:t xml:space="preserve">) рубл</w:t>
      </w:r>
      <w:r>
        <w:rPr>
          <w:sz w:val="28"/>
          <w:szCs w:val="28"/>
        </w:rPr>
        <w:t xml:space="preserve">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00</w:t>
      </w:r>
      <w:r>
        <w:rPr>
          <w:sz w:val="28"/>
          <w:szCs w:val="28"/>
        </w:rPr>
        <w:t xml:space="preserve"> копе</w:t>
      </w:r>
      <w:r>
        <w:rPr>
          <w:sz w:val="28"/>
          <w:szCs w:val="28"/>
        </w:rPr>
        <w:t xml:space="preserve">ек</w:t>
      </w:r>
      <w:r>
        <w:rPr>
          <w:sz w:val="28"/>
          <w:szCs w:val="28"/>
        </w:rPr>
        <w:t xml:space="preserve"> с учетом НДС.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Величина повышения начальной цены («шаг аукциона»): </w:t>
      </w:r>
      <w:r>
        <w:rPr>
          <w:sz w:val="28"/>
          <w:szCs w:val="28"/>
        </w:rPr>
        <w:t xml:space="preserve">95 800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Девяносто пять тысяч восемьсот</w:t>
      </w:r>
      <w:r>
        <w:rPr>
          <w:sz w:val="28"/>
          <w:szCs w:val="28"/>
        </w:rPr>
        <w:t xml:space="preserve">) рубл</w:t>
      </w:r>
      <w:r>
        <w:rPr>
          <w:sz w:val="28"/>
          <w:szCs w:val="28"/>
        </w:rPr>
        <w:t xml:space="preserve">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00</w:t>
      </w:r>
      <w:r>
        <w:rPr>
          <w:sz w:val="28"/>
          <w:szCs w:val="28"/>
        </w:rPr>
        <w:t xml:space="preserve"> копе</w:t>
      </w:r>
      <w:r>
        <w:rPr>
          <w:sz w:val="28"/>
          <w:szCs w:val="28"/>
        </w:rPr>
        <w:t xml:space="preserve">ек</w:t>
      </w:r>
      <w:r>
        <w:rPr>
          <w:sz w:val="28"/>
          <w:szCs w:val="28"/>
        </w:rPr>
        <w:t xml:space="preserve"> с учетом НДС, что составляет 5%</w:t>
      </w:r>
      <w:r>
        <w:rPr>
          <w:sz w:val="28"/>
          <w:szCs w:val="28"/>
        </w:rPr>
        <w:br/>
        <w:t xml:space="preserve">от начальной цены продажи.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Размер задатка: </w:t>
      </w:r>
      <w:r>
        <w:rPr>
          <w:sz w:val="28"/>
          <w:szCs w:val="28"/>
        </w:rPr>
        <w:t xml:space="preserve">191 600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Сто девяносто одна тысяча шестьсот</w:t>
      </w:r>
      <w:r>
        <w:rPr>
          <w:sz w:val="28"/>
          <w:szCs w:val="28"/>
        </w:rPr>
        <w:t xml:space="preserve">) рублей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00</w:t>
      </w:r>
      <w:r>
        <w:rPr>
          <w:sz w:val="28"/>
          <w:szCs w:val="28"/>
        </w:rPr>
        <w:t xml:space="preserve"> коп</w:t>
      </w:r>
      <w:r>
        <w:rPr>
          <w:sz w:val="28"/>
          <w:szCs w:val="28"/>
        </w:rPr>
        <w:t xml:space="preserve">еек</w:t>
      </w:r>
      <w:r>
        <w:rPr>
          <w:sz w:val="28"/>
          <w:szCs w:val="28"/>
        </w:rPr>
        <w:t xml:space="preserve">, что составляет 10% от начальной цены продажи.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rFonts w:eastAsiaTheme="minorHAnsi"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Лот №4.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 незавершенного строительства, проектируемое назначение</w:t>
      </w:r>
      <w:r>
        <w:rPr>
          <w:sz w:val="28"/>
          <w:szCs w:val="28"/>
        </w:rPr>
        <w:t xml:space="preserve">: нежилое, площадь 1399,6 кв. м, кадастровый номер: 59:39:0010130:208, с земельным участком с кадастровым номером 59:39:0010130:209, площадью 1 556 кв. м, по адресу: Российская Федерация, Пермский край, м.о. Чердынский, г. Чердынь, ул. Прокопьевская, д. 39</w:t>
      </w:r>
      <w:r>
        <w:rPr>
          <w:rFonts w:eastAsiaTheme="minorHAnsi"/>
          <w:color w:val="000000"/>
          <w:sz w:val="28"/>
          <w:szCs w:val="28"/>
          <w:lang w:eastAsia="en-US"/>
        </w:rPr>
      </w:r>
      <w:r>
        <w:rPr>
          <w:rFonts w:eastAsiaTheme="minorHAnsi"/>
          <w:color w:val="000000"/>
          <w:sz w:val="28"/>
          <w:szCs w:val="28"/>
          <w:lang w:eastAsia="en-US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Начальная цена продажи краевого имущества: </w:t>
      </w:r>
      <w:r>
        <w:rPr>
          <w:sz w:val="28"/>
          <w:szCs w:val="28"/>
        </w:rPr>
        <w:t xml:space="preserve">10 646 000 (</w:t>
      </w:r>
      <w:r>
        <w:rPr>
          <w:sz w:val="28"/>
          <w:szCs w:val="28"/>
        </w:rPr>
        <w:t xml:space="preserve">Десять миллионов шестьсот сорок шесть тысяч</w:t>
      </w:r>
      <w:r>
        <w:rPr>
          <w:sz w:val="28"/>
          <w:szCs w:val="28"/>
        </w:rPr>
        <w:t xml:space="preserve">) рублей 00 копеек с учетом НДС.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Величина повышения начальной цены («шаг аукциона»): </w:t>
      </w:r>
      <w:r>
        <w:rPr>
          <w:sz w:val="28"/>
          <w:szCs w:val="28"/>
        </w:rPr>
        <w:t xml:space="preserve">532 300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Пятьсот тридцать две тысячи триста</w:t>
      </w:r>
      <w:r>
        <w:rPr>
          <w:sz w:val="28"/>
          <w:szCs w:val="28"/>
        </w:rPr>
        <w:t xml:space="preserve">) рублей 00 копеек с учетом НДС, что составляет 5% от начальной цены продажи.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Размер задатка: </w:t>
      </w:r>
      <w:r>
        <w:rPr>
          <w:sz w:val="28"/>
          <w:szCs w:val="28"/>
        </w:rPr>
        <w:t xml:space="preserve">1 064 600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Один миллион шестьдесят четыре тысячи шестьсот</w:t>
      </w:r>
      <w:r>
        <w:rPr>
          <w:sz w:val="28"/>
          <w:szCs w:val="28"/>
        </w:rPr>
        <w:t xml:space="preserve">) рублей 00 копеек, что составляет 10% от начальной цены продажи.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4. Способ приватизации краевого имущества: </w:t>
      </w:r>
      <w:r>
        <w:rPr>
          <w:sz w:val="28"/>
          <w:szCs w:val="28"/>
        </w:rPr>
        <w:t xml:space="preserve">продажа краевого имущества на аукционе </w:t>
      </w:r>
      <w:r>
        <w:rPr>
          <w:rFonts w:eastAsiaTheme="minorEastAsia"/>
          <w:sz w:val="28"/>
          <w:szCs w:val="28"/>
        </w:rPr>
        <w:t xml:space="preserve">в электронной форме </w:t>
      </w:r>
      <w:r>
        <w:rPr>
          <w:sz w:val="28"/>
          <w:szCs w:val="28"/>
        </w:rPr>
        <w:t xml:space="preserve">на электронной площадке </w:t>
      </w:r>
      <w:r>
        <w:rPr>
          <w:sz w:val="28"/>
          <w:szCs w:val="28"/>
        </w:rPr>
        <w:br/>
        <w:t xml:space="preserve">АО «Сбербанк-Автоматизированная система торгов», включенной</w:t>
      </w:r>
      <w:r>
        <w:rPr>
          <w:sz w:val="28"/>
          <w:szCs w:val="28"/>
        </w:rPr>
        <w:t xml:space="preserve"> в Перечень юридических лиц для организации продажи государственного и муниципального имущества в электронной форме, утвержденный распоряжением Правительства Российской Федерации от 4 декабря 2015 г. № 2488-р, (далее - Организатор), расположенной на сайте </w:t>
      </w:r>
      <w:r>
        <w:rPr>
          <w:sz w:val="28"/>
          <w:szCs w:val="28"/>
          <w:lang w:val="en-US"/>
        </w:rPr>
        <w:t xml:space="preserve">http</w:t>
      </w:r>
      <w:r>
        <w:rPr>
          <w:sz w:val="28"/>
          <w:szCs w:val="28"/>
        </w:rPr>
        <w:t xml:space="preserve">://</w:t>
      </w:r>
      <w:r>
        <w:rPr>
          <w:sz w:val="28"/>
          <w:szCs w:val="28"/>
          <w:lang w:val="en-US"/>
        </w:rPr>
        <w:t xml:space="preserve">utp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sberbank</w:t>
      </w: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ast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ru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AP</w:t>
      </w:r>
      <w:r>
        <w:rPr>
          <w:rStyle w:val="889"/>
          <w:rFonts w:eastAsia="Arial"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сети «Интернет».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Форма подачи предложений о цене краевого имущества: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представление предложений о цене имущества осуществляется зарегистрированным участником продажи в течение одной процедуры проведения аукциона. Подача предложений </w:t>
      </w:r>
      <w:r>
        <w:rPr>
          <w:sz w:val="28"/>
          <w:szCs w:val="28"/>
        </w:rPr>
        <w:br/>
        <w:t xml:space="preserve">о цене имущества осуществляется в «личном кабине</w:t>
      </w:r>
      <w:r>
        <w:rPr>
          <w:sz w:val="28"/>
          <w:szCs w:val="28"/>
        </w:rPr>
        <w:t xml:space="preserve">те» участника посредством штатного интерфейса в день и время проведения аукциона, указанные в настоящем Информационном сообщении, на электронной площадке – универсальная торговая платформа АО «Сбербанк-АСТ», размещенная на сайте http://utp.sberbank-ast.ru </w:t>
      </w:r>
      <w:r>
        <w:rPr>
          <w:sz w:val="28"/>
          <w:szCs w:val="28"/>
        </w:rPr>
        <w:br/>
        <w:t xml:space="preserve">в сети «Интернет».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pacing w:line="26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</w:rPr>
        <w:t xml:space="preserve">6. Сроки и порядок внесения и возвращения задатка, назначение платежа, реквизиты счета: </w:t>
      </w:r>
      <w:r>
        <w:rPr>
          <w:sz w:val="28"/>
          <w:szCs w:val="28"/>
        </w:rPr>
        <w:t xml:space="preserve">для участия в аукционе претенденты перечисляют задаток </w:t>
      </w:r>
      <w:r>
        <w:rPr>
          <w:sz w:val="28"/>
          <w:szCs w:val="28"/>
        </w:rPr>
        <w:br/>
        <w:t xml:space="preserve">в установленном настоящим Информационном сообщении размере в счет обеспечения оплаты приобретаемого имущества </w:t>
      </w:r>
      <w:r>
        <w:rPr>
          <w:b/>
          <w:sz w:val="28"/>
          <w:szCs w:val="28"/>
        </w:rPr>
        <w:t xml:space="preserve">на счет Организатора - </w:t>
      </w:r>
      <w:r>
        <w:rPr>
          <w:b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А</w:t>
      </w:r>
      <w:r>
        <w:rPr>
          <w:b/>
          <w:bCs/>
          <w:sz w:val="28"/>
          <w:szCs w:val="28"/>
          <w:highlight w:val="white"/>
        </w:rPr>
        <w:t xml:space="preserve">О «Сбербанк-АСТ»; ИНН 7707308480 КПП 770401001; расчетный счет 40702810300020038047; ПАО «Сбербанк России» г. Москва; БИК 044525225; корреспондентский счет 30101810400000000225.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940"/>
        <w:ind w:left="0" w:firstLine="709"/>
        <w:spacing w:line="260" w:lineRule="exac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до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 23:59 часов (МСК) «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15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» 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октября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 2026 г.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Перечисление денежных средств в качестве задатка (депозита) (ИНН плательщика), НДС не облагается, для участия в продаже </w:t>
      </w:r>
      <w:r>
        <w:rPr>
          <w:sz w:val="28"/>
          <w:szCs w:val="28"/>
        </w:rPr>
        <w:t xml:space="preserve">краевого имущества на аукционе в электронной форме. Лот №__.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Настоящее Информационное сообщение является публичной офертой </w:t>
      </w:r>
      <w:r>
        <w:rPr>
          <w:sz w:val="28"/>
          <w:szCs w:val="28"/>
        </w:rPr>
        <w:br/>
        <w:t xml:space="preserve">для зак</w:t>
      </w:r>
      <w:r>
        <w:rPr>
          <w:sz w:val="28"/>
          <w:szCs w:val="28"/>
        </w:rPr>
        <w:t xml:space="preserve">лючения договора о задатке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Лицам, перечислившим задаток для участия в аукционе, денежные средства возвращаются в следующем порядке: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а) участникам аукциона, за исключением его победителя либо лица, признанного единственным участником аукциона - в течение пяти дней с даты подведения итогов аукциона;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б) претендентам, не допущенным к участию в аукционе, - в течение </w:t>
      </w:r>
      <w:r>
        <w:rPr>
          <w:sz w:val="28"/>
          <w:szCs w:val="28"/>
        </w:rPr>
        <w:br/>
        <w:t xml:space="preserve">5 календарных дней со дня подписания протокола о признании претендентов участниками аукциона;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в) претендентам, отозвавшим в установленном порядке заявки до даты окончания приема заявок, - задаток возвращается в течение 5 календарных дней </w:t>
      </w:r>
      <w:r>
        <w:rPr>
          <w:sz w:val="28"/>
          <w:szCs w:val="28"/>
        </w:rPr>
        <w:br/>
        <w:t xml:space="preserve">со дня поступления уведомления об отзыве заявки на участие в аукционе. В случае отзыва претендентом заявки позднее дня окончания приема заявок, задаток возвращается в порядке, установленном для претендентов, не допущенных к участию в аукционе.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возвращается, и он утрачивает право </w:t>
      </w:r>
      <w:r>
        <w:rPr>
          <w:sz w:val="28"/>
          <w:szCs w:val="28"/>
        </w:rPr>
        <w:br/>
        <w:t xml:space="preserve">на заключение указанного договора.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 Порядок, дата и время регистрации на сайте в сети «Интернет» претендентов и подачи заявок на участие в аукционе: </w:t>
      </w:r>
      <w:r>
        <w:rPr>
          <w:bCs/>
          <w:sz w:val="28"/>
          <w:szCs w:val="28"/>
        </w:rPr>
        <w:t xml:space="preserve">д</w:t>
      </w:r>
      <w:r>
        <w:rPr>
          <w:sz w:val="28"/>
          <w:szCs w:val="28"/>
        </w:rPr>
        <w:t xml:space="preserve">ля участия в аукцион</w:t>
      </w:r>
      <w:r>
        <w:rPr>
          <w:sz w:val="28"/>
          <w:szCs w:val="28"/>
        </w:rPr>
        <w:t xml:space="preserve">е претенденты должны зарегистрироваться на сайте http://utp.sberbank-ast.ru в сети «Интернет» в порядке, установленном Регламентом торговой секции «Приватизация, аренда и продажа прав» универсальной торговой платформы АО «Сбербанк-АСТ», без взимания платы.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Регистрации на электронной площадке подлежат претенденты, ранее </w:t>
      </w:r>
      <w:r>
        <w:rPr>
          <w:sz w:val="28"/>
          <w:szCs w:val="28"/>
        </w:rPr>
        <w:br/>
        <w:t xml:space="preserve">не зарегистрированные на электронной площадке, или регистрация которых </w:t>
      </w:r>
      <w:r>
        <w:rPr>
          <w:sz w:val="28"/>
          <w:szCs w:val="28"/>
        </w:rPr>
        <w:br/>
        <w:t xml:space="preserve">на электронной площадке была ими прекращена.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возможность регистрации претендентов </w:t>
      </w:r>
      <w:r>
        <w:rPr>
          <w:sz w:val="28"/>
          <w:szCs w:val="28"/>
        </w:rPr>
        <w:br/>
        <w:t xml:space="preserve">на электронной площадке, ввод ими идентифицирующих данных (имя пользователя и пароль) и возможность изменения пароля, открывает раздел, доступ к которому имеют только продавец и участники (закрытая часть электронной площадки).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Инструкция для участников торгов по работе в торговой секции «Приватизация, аренда и продажа прав» универсальной торговой платформы </w:t>
      </w:r>
      <w:r>
        <w:rPr>
          <w:sz w:val="28"/>
          <w:szCs w:val="28"/>
        </w:rPr>
        <w:br/>
        <w:t xml:space="preserve">АО «Сбербанк-АСТ» размещена по адресу: </w:t>
      </w:r>
      <w:hyperlink r:id="rId10" w:tooltip="http://utp.sberbank-ast.ru/AP/Notice/652/Instructions" w:history="1">
        <w:r>
          <w:rPr>
            <w:rStyle w:val="889"/>
            <w:rFonts w:eastAsia="Arial"/>
            <w:sz w:val="28"/>
            <w:szCs w:val="28"/>
          </w:rPr>
          <w:t xml:space="preserve">http://utp.sberbank-ast.ru/AP/Notice/652/Instructions</w:t>
        </w:r>
      </w:hyperlink>
      <w:r>
        <w:rPr>
          <w:rStyle w:val="889"/>
          <w:sz w:val="28"/>
          <w:szCs w:val="28"/>
          <w:u w:val="none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</w:t>
      </w:r>
      <w:r>
        <w:rPr>
          <w:sz w:val="28"/>
          <w:szCs w:val="28"/>
        </w:rPr>
        <w:br/>
        <w:t xml:space="preserve">в форме электронных документов либо электронных образов документов (документов на бумажном носителе, пре</w:t>
      </w:r>
      <w:r>
        <w:rPr>
          <w:sz w:val="28"/>
          <w:szCs w:val="28"/>
        </w:rPr>
        <w:t xml:space="preserve">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Прием заявок и прилагаемых к ним документов начинается с даты и времени, указанных в настоящем Информационном сообщении.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Подача заявки на участие в аукционе осуществляется претендентом, зареги</w:t>
      </w:r>
      <w:r>
        <w:rPr>
          <w:sz w:val="28"/>
          <w:szCs w:val="28"/>
        </w:rPr>
        <w:t xml:space="preserve">стрированным на сайте в сети «Интернет», указанном в настоящем Информационном сообщении, из «личного кабинета» посредством штатного интерфейса электронной площадки АО «Единая электронная торговая площадка» торговой секции «Приватизация и аренда имущества».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Заявка подается путем заполнения ее электронной формы, размещенной </w:t>
      </w:r>
      <w:r>
        <w:rPr>
          <w:sz w:val="28"/>
          <w:szCs w:val="28"/>
        </w:rPr>
        <w:br/>
        <w:t xml:space="preserve">в открытой для доступа неограниченного круга лиц части электронной площадки (</w:t>
      </w:r>
      <w:r>
        <w:rPr>
          <w:sz w:val="28"/>
          <w:szCs w:val="28"/>
        </w:rPr>
        <w:t xml:space="preserve">открытая часть электронной площадки), с приложением электронных документов в соответствии с перечнем, приведенным в настоящем Информационном сообщении, заверенных электронной подписью претендента либо лица, имеющего право действовать от имени претендента: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физические лица: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- копии всех листов документа, удостоверяющего личность;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юридические лица: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заверенные копии учредительных документов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- документ, содержащий сведения о доле Российской Фед</w:t>
      </w:r>
      <w:r>
        <w:rPr>
          <w:sz w:val="28"/>
          <w:szCs w:val="28"/>
        </w:rPr>
        <w:t xml:space="preserve">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- документ, который подтверждает полномочия руководителя юридического лица на осуще</w:t>
      </w:r>
      <w:r>
        <w:rPr>
          <w:sz w:val="28"/>
          <w:szCs w:val="28"/>
          <w:highlight w:val="white"/>
        </w:rPr>
        <w:t xml:space="preserve">ствление действий от имени юридического лица (копия решения </w:t>
      </w:r>
      <w:r>
        <w:rPr>
          <w:sz w:val="28"/>
          <w:szCs w:val="28"/>
          <w:highlight w:val="white"/>
        </w:rPr>
        <w:br/>
        <w:t xml:space="preserve"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случае, если от имени претендента действует его представитель по доверенности, к заявке должна быть приложена доверенность на осуществление действий от имени претендента, оформленная в установленном порядке, или нотариальн</w:t>
      </w:r>
      <w:r>
        <w:rPr>
          <w:sz w:val="28"/>
          <w:szCs w:val="28"/>
          <w:highlight w:val="white"/>
        </w:rPr>
        <w:t xml:space="preserve">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Одно лицо имеет право подать только одну заявку на один объект приватизации.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Заявка должна соответствовать требованиям Продавца.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подачу претен</w:t>
      </w:r>
      <w:r>
        <w:rPr>
          <w:sz w:val="28"/>
          <w:szCs w:val="28"/>
          <w:highlight w:val="white"/>
        </w:rPr>
        <w:t xml:space="preserve">дентами заявок при условии заполнения ими всех полей, принятие и регистрацию в электронных журналах заявок и прилагаемых к ним документов (в журнале приема заявок). Каждой заявке присваивается номер с указанием даты и времени приема. В течение одного часа </w:t>
      </w:r>
      <w:r>
        <w:rPr>
          <w:sz w:val="28"/>
          <w:szCs w:val="28"/>
          <w:highlight w:val="white"/>
        </w:rPr>
        <w:br/>
        <w:t xml:space="preserve">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конфиденциальность сведений о поступивших заявках и прилагаемых к ним документах, а также сведений о лицах, подавших заявки, до момента размещения на электронной площадке информации об итогах приема заявок (определения участников).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 Уведомление об отзыве заявки вместе с заявкой в течение одного часа поступает </w:t>
      </w:r>
      <w:r>
        <w:rPr>
          <w:sz w:val="28"/>
          <w:szCs w:val="28"/>
          <w:highlight w:val="white"/>
        </w:rPr>
        <w:br/>
        <w:t xml:space="preserve">в «личный кабинет» Продавца, о чем претенденту направляется соответствующее уведомление.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прекращение подачи заявок по истечении срока </w:t>
      </w:r>
      <w:r>
        <w:rPr>
          <w:sz w:val="28"/>
          <w:szCs w:val="28"/>
          <w:highlight w:val="white"/>
        </w:rPr>
        <w:br/>
        <w:t xml:space="preserve">их приема, указанного в настоящем Информационном сообщении.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Комиссия по проведению продажи государственного краевого имущества </w:t>
      </w:r>
      <w:r>
        <w:rPr>
          <w:sz w:val="28"/>
          <w:szCs w:val="28"/>
          <w:highlight w:val="white"/>
        </w:rPr>
        <w:br/>
        <w:t xml:space="preserve">в порядке приватизации вправе продлить срок подачи заявок на участие в аукционе </w:t>
      </w:r>
      <w:r>
        <w:rPr>
          <w:sz w:val="28"/>
          <w:szCs w:val="28"/>
          <w:highlight w:val="white"/>
        </w:rPr>
        <w:br/>
        <w:t xml:space="preserve">и перенести принятие решения о победителе на другую дату, а также принять решение об отказе от проведения аукциона.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8. Место, даты и время</w:t>
      </w:r>
      <w:r>
        <w:rPr>
          <w:b/>
          <w:sz w:val="28"/>
          <w:szCs w:val="28"/>
          <w:highlight w:val="white"/>
        </w:rPr>
        <w:t xml:space="preserve"> начала и окончания подачи заявок и проведения аукциона: </w:t>
      </w:r>
      <w:r>
        <w:rPr>
          <w:sz w:val="28"/>
          <w:szCs w:val="28"/>
          <w:highlight w:val="white"/>
        </w:rPr>
        <w:t xml:space="preserve">при исчислении сроков, указанных в настоящем Информационном сообщении, принимается время сервера электронной торговой площадки - московское.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spacing w:line="260" w:lineRule="exact"/>
        <w:widowControl w:val="off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начала подачи заявок</w:t>
      </w:r>
      <w:r>
        <w:rPr>
          <w:sz w:val="28"/>
          <w:szCs w:val="28"/>
          <w:highlight w:val="white"/>
        </w:rPr>
        <w:t xml:space="preserve"> на участие в аукционе: </w:t>
      </w:r>
      <w:r>
        <w:rPr>
          <w:sz w:val="28"/>
          <w:szCs w:val="28"/>
          <w:highlight w:val="white"/>
        </w:rPr>
        <w:br/>
      </w:r>
      <w:r>
        <w:rPr>
          <w:b/>
          <w:sz w:val="28"/>
          <w:szCs w:val="28"/>
          <w:highlight w:val="white"/>
        </w:rPr>
        <w:t xml:space="preserve">19 сентября</w:t>
      </w:r>
      <w:r>
        <w:rPr>
          <w:b/>
          <w:sz w:val="28"/>
          <w:szCs w:val="28"/>
          <w:highlight w:val="white"/>
        </w:rPr>
        <w:t xml:space="preserve"> 202</w:t>
      </w:r>
      <w:r>
        <w:rPr>
          <w:b/>
          <w:sz w:val="28"/>
          <w:szCs w:val="28"/>
          <w:highlight w:val="white"/>
        </w:rPr>
        <w:t xml:space="preserve">6</w:t>
      </w:r>
      <w:r>
        <w:rPr>
          <w:b/>
          <w:sz w:val="28"/>
          <w:szCs w:val="28"/>
          <w:highlight w:val="white"/>
        </w:rPr>
        <w:t xml:space="preserve"> г.</w:t>
      </w:r>
      <w:r>
        <w:rPr>
          <w:sz w:val="28"/>
          <w:szCs w:val="28"/>
          <w:highlight w:val="white"/>
        </w:rPr>
        <w:t xml:space="preserve">,</w:t>
      </w:r>
      <w:r>
        <w:rPr>
          <w:b/>
          <w:sz w:val="28"/>
          <w:szCs w:val="28"/>
          <w:highlight w:val="white"/>
        </w:rPr>
        <w:t xml:space="preserve"> </w:t>
      </w:r>
      <w:r>
        <w:rPr>
          <w:b/>
          <w:sz w:val="28"/>
          <w:szCs w:val="28"/>
          <w:highlight w:val="white"/>
        </w:rPr>
        <w:t xml:space="preserve">0</w:t>
      </w:r>
      <w:r>
        <w:rPr>
          <w:b/>
          <w:sz w:val="28"/>
          <w:szCs w:val="28"/>
          <w:highlight w:val="white"/>
        </w:rPr>
        <w:t xml:space="preserve">0.00 час. (московское время)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spacing w:line="260" w:lineRule="exact"/>
        <w:widowControl w:val="off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окончания подачи заявок</w:t>
      </w:r>
      <w:r>
        <w:rPr>
          <w:sz w:val="28"/>
          <w:szCs w:val="28"/>
          <w:highlight w:val="white"/>
        </w:rPr>
        <w:t xml:space="preserve"> на участие в аукционе: </w:t>
      </w:r>
      <w:r>
        <w:rPr>
          <w:sz w:val="28"/>
          <w:szCs w:val="28"/>
          <w:highlight w:val="white"/>
        </w:rPr>
        <w:br/>
      </w:r>
      <w:r>
        <w:rPr>
          <w:b/>
          <w:bCs/>
          <w:sz w:val="28"/>
          <w:szCs w:val="28"/>
          <w:highlight w:val="white"/>
        </w:rPr>
        <w:t xml:space="preserve">14 октября</w:t>
      </w:r>
      <w:r>
        <w:rPr>
          <w:b/>
          <w:bCs/>
          <w:sz w:val="28"/>
          <w:szCs w:val="28"/>
          <w:highlight w:val="white"/>
        </w:rPr>
        <w:t xml:space="preserve"> </w:t>
      </w:r>
      <w:r>
        <w:rPr>
          <w:b/>
          <w:sz w:val="28"/>
          <w:szCs w:val="28"/>
          <w:highlight w:val="white"/>
        </w:rPr>
        <w:t xml:space="preserve">2026 г., 00.00 час. (московское время)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Место подачи заявок:</w:t>
      </w:r>
      <w:r>
        <w:rPr>
          <w:sz w:val="28"/>
          <w:szCs w:val="28"/>
          <w:highlight w:val="white"/>
        </w:rPr>
        <w:t xml:space="preserve"> электронная площадка – универсальная торговая платформа АО «Сбербанк-АСТ», размещенная на сайте http://utp.sberbank-ast.ru </w:t>
      </w:r>
      <w:r>
        <w:rPr>
          <w:sz w:val="28"/>
          <w:szCs w:val="28"/>
          <w:highlight w:val="white"/>
        </w:rPr>
        <w:br/>
        <w:t xml:space="preserve">в сети «Интернет» (торговая секция «Приватизация, аренда и продажа прав»).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рассмотрения заявок и признания претендентов участниками аукциона: </w:t>
      </w:r>
      <w:r>
        <w:rPr>
          <w:b/>
          <w:sz w:val="28"/>
          <w:szCs w:val="28"/>
          <w:highlight w:val="white"/>
        </w:rPr>
        <w:t xml:space="preserve">16 октября</w:t>
      </w:r>
      <w:r>
        <w:rPr>
          <w:b/>
          <w:sz w:val="28"/>
          <w:szCs w:val="28"/>
          <w:highlight w:val="white"/>
        </w:rPr>
        <w:t xml:space="preserve"> 2026 г.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Не позднее следующего рабочего дня после дня подписания протокола </w:t>
      </w:r>
      <w:r>
        <w:rPr>
          <w:sz w:val="28"/>
          <w:szCs w:val="28"/>
          <w:highlight w:val="white"/>
        </w:rPr>
        <w:br/>
        <w:t xml:space="preserve">о признании претендентов участниками аукциона всем претендентам, подавшим заявки, направляется уведомление о признании их участниками аукциона </w:t>
      </w:r>
      <w:r>
        <w:rPr>
          <w:sz w:val="28"/>
          <w:szCs w:val="28"/>
          <w:highlight w:val="white"/>
        </w:rPr>
        <w:br/>
        <w:t xml:space="preserve">или об отказе в признании участниками аукциона с указанием оснований отказа.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уведомление претендентов о принятом Продавцом решении о признании их участниками либо отказе в доступе к участию в продаже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проведения аукциона: </w:t>
      </w:r>
      <w:r>
        <w:rPr>
          <w:b/>
          <w:sz w:val="28"/>
          <w:szCs w:val="28"/>
          <w:highlight w:val="white"/>
        </w:rPr>
        <w:t xml:space="preserve">19 октября</w:t>
      </w:r>
      <w:r>
        <w:rPr>
          <w:b/>
          <w:sz w:val="28"/>
          <w:szCs w:val="28"/>
          <w:highlight w:val="white"/>
        </w:rPr>
        <w:t xml:space="preserve"> 2026 г., </w:t>
      </w:r>
      <w:r>
        <w:rPr>
          <w:b/>
          <w:sz w:val="28"/>
          <w:szCs w:val="28"/>
          <w:highlight w:val="white"/>
        </w:rPr>
        <w:t xml:space="preserve">07</w:t>
      </w:r>
      <w:r>
        <w:rPr>
          <w:b/>
          <w:sz w:val="28"/>
          <w:szCs w:val="28"/>
          <w:highlight w:val="white"/>
        </w:rPr>
        <w:t xml:space="preserve">.00 час. (московское время).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rPr>
          <w:sz w:val="28"/>
          <w:szCs w:val="28"/>
          <w:highlight w:val="white"/>
        </w:rPr>
      </w:pPr>
      <w:r>
        <w:rPr>
          <w:bCs/>
          <w:color w:val="000000"/>
          <w:sz w:val="28"/>
          <w:szCs w:val="28"/>
          <w:highlight w:val="white"/>
        </w:rPr>
        <w:t xml:space="preserve">Согласно законодательству о приватизации, </w:t>
      </w:r>
      <w:r>
        <w:rPr>
          <w:sz w:val="28"/>
          <w:szCs w:val="28"/>
          <w:highlight w:val="white"/>
        </w:rPr>
        <w:t xml:space="preserve">в случае, если заявку на участие </w:t>
      </w:r>
      <w:r>
        <w:rPr>
          <w:sz w:val="28"/>
          <w:szCs w:val="28"/>
          <w:highlight w:val="white"/>
        </w:rPr>
        <w:br/>
        <w:t xml:space="preserve">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случае отказа лица, признанного единственным участником аукциона, </w:t>
      </w:r>
      <w:r>
        <w:rPr>
          <w:sz w:val="28"/>
          <w:szCs w:val="28"/>
          <w:highlight w:val="white"/>
        </w:rPr>
        <w:br/>
        <w:t xml:space="preserve">от заключения договора аукцион признается несостоявшимся.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Место проведения аукциона и подведения итогов: </w:t>
      </w:r>
      <w:r>
        <w:rPr>
          <w:sz w:val="28"/>
          <w:szCs w:val="28"/>
        </w:rPr>
        <w:t xml:space="preserve">электронная площадка – универсальная торговая платформа АО «Сбербанк-АСТ», размещенная на сайте http://utp.sberbank-ast.ru в сети «Интернет» (торговая секция «Приватизация, аренда и продажа прав»)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равный доступ участников к процедуре продажи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9. Правила проведения аукциона и определения победителя: </w:t>
      </w:r>
      <w:r>
        <w:rPr>
          <w:sz w:val="28"/>
          <w:szCs w:val="28"/>
        </w:rPr>
        <w:t xml:space="preserve">аукцион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«Шаг аукциона» устанавливается продавцом в фиксированной сумме, составляющей не более 5 процентов начальной цены продажи, и не изменяется </w:t>
      </w:r>
      <w:r>
        <w:rPr>
          <w:sz w:val="28"/>
          <w:szCs w:val="28"/>
        </w:rPr>
        <w:br/>
        <w:t xml:space="preserve">в течение всего аукциона.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Во время проведения процедуры аукциона оператор электронной площадки обеспечивает доступ участников к закрытой части электронной площадки </w:t>
      </w:r>
      <w:r>
        <w:rPr>
          <w:sz w:val="28"/>
          <w:szCs w:val="28"/>
        </w:rPr>
        <w:br/>
        <w:t xml:space="preserve">и возможность представления ими предложений о цене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 времени начала проведения процедуры аукциона оператором электронной площадки размещается: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открытой части электронной площадки - информация о начале проведения процедуры аукциона с указанием наименования имущества, начальной цены </w:t>
      </w:r>
      <w:r>
        <w:rPr>
          <w:sz w:val="28"/>
          <w:szCs w:val="28"/>
        </w:rPr>
        <w:br/>
        <w:t xml:space="preserve">и текущего «шага аукциона»;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закрытой части электронной площадки - помимо информации, указанной </w:t>
      </w:r>
      <w:r>
        <w:rPr>
          <w:sz w:val="28"/>
          <w:szCs w:val="28"/>
        </w:rPr>
        <w:br/>
        <w:t xml:space="preserve">в открытой части электронной площадки, также предложения о цене имущества </w:t>
      </w:r>
      <w:r>
        <w:rPr>
          <w:sz w:val="28"/>
          <w:szCs w:val="28"/>
        </w:rPr>
        <w:br/>
        <w:t xml:space="preserve">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течение одного часа со времени начала проведения процедуры аукциона участникам предлагается заявить о приобретении имущества по начальной цене. </w:t>
      </w:r>
      <w:r>
        <w:rPr>
          <w:sz w:val="28"/>
          <w:szCs w:val="28"/>
        </w:rPr>
        <w:br/>
        <w:t xml:space="preserve">В случае если в течение указанного времени: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поступило предложение о начальной цене имущества, то время </w:t>
      </w:r>
      <w:r>
        <w:rPr>
          <w:sz w:val="28"/>
          <w:szCs w:val="28"/>
        </w:rPr>
        <w:br/>
        <w:t xml:space="preserve">для представления следующих предложений об увеличенной на «шаг аукциона» цене имущества продлевается на 10 минут со</w:t>
      </w:r>
      <w:r>
        <w:rPr>
          <w:sz w:val="28"/>
          <w:szCs w:val="28"/>
        </w:rPr>
        <w:t xml:space="preserve">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не поступило ни одного предложения о начальной цене имущества, то аукцион с помощью программно-аппаратных средств электронной площадки завершается. </w:t>
      </w:r>
      <w:r>
        <w:rPr>
          <w:sz w:val="28"/>
          <w:szCs w:val="28"/>
        </w:rPr>
        <w:br/>
        <w:t xml:space="preserve">В этом случае временем окончания представления предложений о цене имущества является время завершения аукциона.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этом программными средствами электронной площадки обеспечивается: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Победителем признается участник, предложивший наиболее высокую цену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Ход проведения процедуры аукцион</w:t>
      </w:r>
      <w:r>
        <w:rPr>
          <w:sz w:val="28"/>
          <w:szCs w:val="28"/>
        </w:rPr>
        <w:t xml:space="preserve">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Протокол об итогах аукциона удостоверяет право победителя либо лица, признанного единственным участником аукциона, на заключение договора</w:t>
      </w:r>
      <w:r>
        <w:rPr>
          <w:sz w:val="28"/>
          <w:szCs w:val="28"/>
        </w:rPr>
        <w:t xml:space="preserve"> купли-продажи имущества, содержит фамилию, имя, отчество или наименование юридического лица - победителя аукциона либо лица, признанного единственным участником аукциона, цену имущества, фамилию, имя, отчество или наименование юридического лица - участник</w:t>
      </w:r>
      <w:r>
        <w:rPr>
          <w:sz w:val="28"/>
          <w:szCs w:val="28"/>
        </w:rPr>
        <w:t xml:space="preserve">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Процедура аукциона считается завершенной со времени подписания продавцом протокола об итогах аукциона.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Аукцион признается несостоявшимся в следующих случаях: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не было подано ни одной заявки на участие либо ни один из претендентов </w:t>
      </w:r>
      <w:r>
        <w:rPr>
          <w:sz w:val="28"/>
          <w:szCs w:val="28"/>
        </w:rPr>
        <w:br/>
        <w:t xml:space="preserve">не признан участником;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лицо, признанное единственным участником аукциона, отказалось от заключения договора купли-продажи;</w:t>
      </w: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ни один из участников не сделал предложение о начальной цене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Решение о признании аукциона несостоявшимся оформляется протоколом.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Уведомление о признании участника аукциона победителем либо лицом, признанным единственным участником аукциона, направляется победителю либо лицу, признанному единственным участником аукциона, в день подведения итогов аукциона.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В течение одного часа со времени подписания протокола об итогах аукциона победителю либо лицу, признанному </w:t>
      </w:r>
      <w:r>
        <w:rPr>
          <w:sz w:val="28"/>
          <w:szCs w:val="28"/>
        </w:rPr>
        <w:t xml:space="preserve">единственным участником аукциона, направляется уведомление о признании его победителем либо лицом, признанным единственным участником аукциона, с приложением данного протокола, а также размещается в открытой части электронной площадки следующая информация: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 наименование имущества и иные позволяющие его индивидуализировать сведения;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 цена сделки;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 фамилия, имя, отчество физического лица или наименование юридического лица – победителя либо лица, признанного единственным участником аукциона.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10. Срок заключения договора купли-продажи краевого имущества: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Заключение договора купли-продажи с победителем аукциона либо лицом, признанным единственным участником аукциона, осуществляется не ранее чем через десять дней и не позднее двадцати дней со дня размещения на официальном сайте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сети "Интернет" протокола об итогах аукциона.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Договор купли-продажи имущества заключается в форме электронного документа.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возвращается, и он утрачивает право на заключение указанного договора.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5"/>
        <w:ind w:left="0" w:firstLine="709"/>
        <w:jc w:val="both"/>
        <w:spacing w:after="0" w:line="26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</w:t>
      </w:r>
      <w:r>
        <w:rPr>
          <w:sz w:val="28"/>
          <w:szCs w:val="28"/>
        </w:rPr>
        <w:br/>
        <w:t xml:space="preserve">с законодательством Российской Федерации в договоре купли-продажи имущества, задаток ему не возвращается.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11. Условия и срок платежа, реквизиты счета для оплаты приобретаемого краевого имущества по договору купли-продажи</w:t>
      </w:r>
      <w:r>
        <w:rPr>
          <w:sz w:val="28"/>
          <w:szCs w:val="28"/>
        </w:rPr>
        <w:t xml:space="preserve">: оплата приобретаемого краевого имущества производится путем перечисления денежных средств в валюте Российской Федерации в безналичном порядке единовременно по следующим реквизитам:</w:t>
      </w:r>
      <w:r>
        <w:rPr>
          <w:b/>
          <w:sz w:val="28"/>
          <w:szCs w:val="28"/>
        </w:rPr>
        <w:t xml:space="preserve"> на специальный лицевой счет Продавца</w:t>
      </w:r>
      <w:r>
        <w:rPr>
          <w:b/>
          <w:color w:val="000000"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Банк получателя: ОКЦ №3УГУ Банка России//УФК по Пермскому краю г. Пермь, БИК 015773997, Единый казначейский счет (ЕКС) № 40102810145370000048, Казначейский счет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spacing w:line="26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03222643570000005600, Получатель: Минфин Пермского края (Министерство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по управлению имуществом и градостроительной деятельности Пермского края, л/с № 058120421), ИНН 5902293192, КПП 590401001, ОКТМО 57701000</w:t>
      </w:r>
      <w:r>
        <w:rPr>
          <w:b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br/>
        <w:t xml:space="preserve">в течение 10 (Десяти) дней со дня заключения договора купли-продажи. Задаток, перечисленный победителем аукциона либо лицом, признанным единственным участником аукциона, засчитывается в счет оплаты приобретаемого имущества </w:t>
      </w:r>
      <w:r>
        <w:rPr>
          <w:sz w:val="28"/>
          <w:szCs w:val="28"/>
        </w:rPr>
        <w:br/>
        <w:t xml:space="preserve">(в сумму платежа по договору купли-продажи).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В случае уклонения или отказа покупателя от оплаты приобретаемого имущества покупателем уплачивается неустойка в соответствии с договором купли-продажи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Факт оплаты покупателем приобретаемого имущества подтверждается выпиской со счета, указанного в настоящем Информационном сообщении, подтверждающей поступление денежных средств в размере и сроки, предусмотренные договором купли-продажи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3"/>
        <w:contextualSpacing w:val="0"/>
        <w:ind w:left="0" w:right="-2" w:firstLine="709"/>
        <w:jc w:val="both"/>
        <w:spacing w:line="260" w:lineRule="exact"/>
        <w:widowControl w:val="off"/>
        <w:tabs>
          <w:tab w:val="left" w:pos="142" w:leader="none"/>
          <w:tab w:val="left" w:pos="284" w:leader="none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12. </w:t>
      </w:r>
      <w:r>
        <w:rPr>
          <w:b/>
          <w:sz w:val="28"/>
          <w:szCs w:val="28"/>
        </w:rPr>
        <w:t xml:space="preserve">Порядок ознакомления покупателей с иной информацией, условиями договора купли-продажи краевого имущества:</w:t>
      </w:r>
      <w:r>
        <w:rPr>
          <w:sz w:val="28"/>
          <w:szCs w:val="28"/>
        </w:rPr>
        <w:t xml:space="preserve"> с иной информацией, условиями договора купли-продажи имущества можно ознакомиться по адресу: Пермский край, г. Пермь, ул. Сибирская, д. 30а, 1 этаж, каб.112 (с понедельника по четверг </w:t>
      </w:r>
      <w:r>
        <w:rPr>
          <w:sz w:val="28"/>
          <w:szCs w:val="28"/>
        </w:rPr>
        <w:br/>
        <w:t xml:space="preserve">с 09.00 час. до 17.00 час., в пятницу с 09.00 час. до 16.00 час., перерыв с 13.00 час.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до 13.48 час. (время местное)</w:t>
      </w:r>
      <w:r>
        <w:rPr>
          <w:sz w:val="28"/>
          <w:szCs w:val="28"/>
        </w:rPr>
        <w:t xml:space="preserve">; тел. (342) 211 04 67 (доб. 1168), </w:t>
      </w:r>
      <w:r>
        <w:rPr>
          <w:bCs/>
          <w:sz w:val="28"/>
          <w:szCs w:val="28"/>
        </w:rPr>
        <w:t xml:space="preserve">адрес электронной почты: </w:t>
      </w:r>
      <w:r>
        <w:rPr>
          <w:bCs/>
          <w:sz w:val="28"/>
          <w:szCs w:val="28"/>
          <w:lang w:val="en-US"/>
        </w:rPr>
        <w:t xml:space="preserve">nazubareva</w:t>
      </w:r>
      <w:r>
        <w:rPr>
          <w:bCs/>
          <w:sz w:val="28"/>
          <w:szCs w:val="28"/>
        </w:rPr>
        <w:t xml:space="preserve">@</w:t>
      </w:r>
      <w:r>
        <w:rPr>
          <w:bCs/>
          <w:sz w:val="28"/>
          <w:szCs w:val="28"/>
          <w:lang w:val="en-US"/>
        </w:rPr>
        <w:t xml:space="preserve">auprim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  <w:lang w:val="en-US"/>
        </w:rPr>
        <w:t xml:space="preserve">permkrai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  <w:lang w:val="en-US"/>
        </w:rPr>
        <w:t xml:space="preserve">ru</w:t>
      </w:r>
      <w:r>
        <w:rPr>
          <w:bCs/>
          <w:sz w:val="28"/>
          <w:szCs w:val="28"/>
        </w:rPr>
        <w:t xml:space="preserve">, сайт: </w:t>
      </w:r>
      <w:r>
        <w:rPr>
          <w:sz w:val="28"/>
          <w:szCs w:val="28"/>
        </w:rPr>
        <w:t xml:space="preserve">http://migd.permkrai.ru/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в течение указанного в настоящем Информационном сообщении срока подачи заявок (со дня приема заявок).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</w:t>
      </w:r>
      <w:r>
        <w:rPr>
          <w:sz w:val="28"/>
          <w:szCs w:val="28"/>
        </w:rPr>
        <w:br/>
        <w:t xml:space="preserve">5 рабочих дней до окончания подачи заявок.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</w:t>
      </w:r>
      <w:r>
        <w:rPr>
          <w:sz w:val="28"/>
          <w:szCs w:val="28"/>
        </w:rPr>
        <w:br/>
        <w:t xml:space="preserve">с указанием предмета запроса, но без указания лица, от которого поступил запрос.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13. </w:t>
      </w:r>
      <w:r>
        <w:rPr>
          <w:b/>
          <w:bCs/>
          <w:sz w:val="28"/>
          <w:szCs w:val="28"/>
        </w:rPr>
        <w:t xml:space="preserve">Ограничения участия отдельных категорий физических лиц </w:t>
      </w:r>
      <w:r>
        <w:rPr>
          <w:b/>
          <w:bCs/>
          <w:sz w:val="28"/>
          <w:szCs w:val="28"/>
        </w:rPr>
        <w:br/>
        <w:t xml:space="preserve">и юридических лиц в приватизации краевого имущества: </w:t>
      </w:r>
      <w:r>
        <w:rPr>
          <w:bCs/>
          <w:sz w:val="28"/>
          <w:szCs w:val="28"/>
        </w:rPr>
        <w:t xml:space="preserve">покупателями краевого имущества могут быть любые физические и юридические лица, за исключением государственных и муниципальных унитарных предприятий, государственных </w:t>
      </w:r>
      <w:r>
        <w:rPr>
          <w:bCs/>
          <w:sz w:val="28"/>
          <w:szCs w:val="28"/>
        </w:rPr>
        <w:br/>
        <w:t xml:space="preserve">и муниципальных учреждений, а также юридических лиц, в уставном капитале которых доля Российской Федерации, субъектов Российской Федерации </w:t>
      </w:r>
      <w:r>
        <w:rPr>
          <w:bCs/>
          <w:sz w:val="28"/>
          <w:szCs w:val="28"/>
        </w:rPr>
        <w:br/>
        <w:t xml:space="preserve">и муниципальных образований превышает 25 процентов, кроме случаев, предусмотренных статьей 25 Федерального закона от 21.12.2001 № 178-ФЗ </w:t>
      </w:r>
      <w:r>
        <w:rPr>
          <w:bCs/>
          <w:sz w:val="28"/>
          <w:szCs w:val="28"/>
        </w:rPr>
        <w:br/>
        <w:t xml:space="preserve">«О приватизации государственного и муниципального имущества»; иные ограничения в соответствии с федеральным законодательством.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14. </w:t>
      </w:r>
      <w:r>
        <w:rPr>
          <w:rFonts w:eastAsiaTheme="minorHAnsi"/>
          <w:b/>
          <w:sz w:val="28"/>
          <w:szCs w:val="28"/>
          <w:lang w:eastAsia="en-US"/>
        </w:rPr>
        <w:t xml:space="preserve">Сведения обо всех предыдущих торгах по продаже краевого имущества, объявленных в течение года, предшествующего его продаже, и об итогах торгов по продаже такого имущества: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b w:val="0"/>
          <w:bCs w:val="0"/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</w:r>
      <w:r>
        <w:rPr>
          <w:b/>
          <w:sz w:val="28"/>
          <w:szCs w:val="28"/>
        </w:rPr>
        <w:t xml:space="preserve">Лот №1:</w:t>
      </w:r>
      <w:r>
        <w:rPr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продажа краевого имущества </w:t>
      </w:r>
      <w:r>
        <w:rPr>
          <w:sz w:val="28"/>
          <w:szCs w:val="28"/>
        </w:rPr>
        <w:t xml:space="preserve">в по</w:t>
      </w:r>
      <w:r>
        <w:rPr>
          <w:sz w:val="28"/>
          <w:szCs w:val="28"/>
        </w:rPr>
        <w:t xml:space="preserve">рядке приватизации </w:t>
      </w:r>
      <w:r>
        <w:rPr>
          <w:sz w:val="28"/>
          <w:szCs w:val="28"/>
        </w:rPr>
        <w:t xml:space="preserve">на аукционе</w:t>
      </w:r>
      <w:r>
        <w:rPr>
          <w:rFonts w:eastAsiaTheme="minorEastAsia"/>
          <w:sz w:val="28"/>
          <w:szCs w:val="28"/>
        </w:rPr>
        <w:t xml:space="preserve"> </w:t>
        <w:br/>
        <w:t xml:space="preserve">в электронной форме по </w:t>
      </w:r>
      <w:r>
        <w:rPr>
          <w:rFonts w:eastAsiaTheme="minorEastAsia"/>
          <w:sz w:val="28"/>
          <w:szCs w:val="28"/>
        </w:rPr>
        <w:t xml:space="preserve">лот</w:t>
      </w:r>
      <w:r>
        <w:rPr>
          <w:rFonts w:eastAsiaTheme="minorEastAsia"/>
          <w:sz w:val="28"/>
          <w:szCs w:val="28"/>
        </w:rPr>
        <w:t xml:space="preserve">у</w:t>
      </w:r>
      <w:r>
        <w:rPr>
          <w:rFonts w:eastAsiaTheme="minor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признана </w:t>
      </w:r>
      <w:r>
        <w:rPr>
          <w:rFonts w:eastAsia="Calibri"/>
          <w:sz w:val="28"/>
          <w:szCs w:val="28"/>
          <w:lang w:eastAsia="en-US"/>
        </w:rPr>
        <w:t xml:space="preserve">несостоявшейся</w:t>
      </w:r>
      <w:r>
        <w:rPr>
          <w:rFonts w:eastAsia="Calibri"/>
          <w:sz w:val="28"/>
          <w:szCs w:val="28"/>
          <w:lang w:eastAsia="en-US"/>
        </w:rPr>
        <w:t xml:space="preserve">: </w:t>
      </w:r>
      <w:r>
        <w:rPr>
          <w:sz w:val="28"/>
          <w:szCs w:val="28"/>
        </w:rPr>
        <w:t xml:space="preserve">ни один из претендентов </w:t>
        <w:br/>
        <w:t xml:space="preserve">не признан участн</w:t>
      </w:r>
      <w:r>
        <w:rPr>
          <w:b w:val="0"/>
          <w:bCs w:val="0"/>
          <w:sz w:val="28"/>
          <w:szCs w:val="28"/>
          <w:highlight w:val="white"/>
        </w:rPr>
        <w:t xml:space="preserve">иком</w:t>
      </w:r>
      <w:r>
        <w:rPr>
          <w:rFonts w:eastAsiaTheme="minorHAnsi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eastAsiaTheme="minorHAnsi"/>
          <w:b w:val="0"/>
          <w:bCs w:val="0"/>
          <w:sz w:val="28"/>
          <w:szCs w:val="28"/>
          <w:highlight w:val="white"/>
          <w:lang w:eastAsia="en-US"/>
        </w:rPr>
        <w:t xml:space="preserve">(п. 44 постановления Правительства РФ от 27 августа </w:t>
        <w:br/>
        <w:t xml:space="preserve">2012 г. № 860) (Протокол о</w:t>
      </w:r>
      <w:r>
        <w:rPr>
          <w:b w:val="0"/>
          <w:bCs w:val="0"/>
          <w:sz w:val="28"/>
          <w:szCs w:val="28"/>
          <w:highlight w:val="white"/>
        </w:rPr>
        <w:t xml:space="preserve">б</w:t>
      </w:r>
      <w:r>
        <w:rPr>
          <w:b w:val="0"/>
          <w:bCs w:val="0"/>
          <w:sz w:val="28"/>
          <w:szCs w:val="28"/>
          <w:highlight w:val="white"/>
        </w:rPr>
        <w:t xml:space="preserve"> итогах продажи </w:t>
      </w:r>
      <w:r>
        <w:rPr>
          <w:b w:val="0"/>
          <w:bCs w:val="0"/>
          <w:sz w:val="28"/>
          <w:szCs w:val="28"/>
          <w:highlight w:val="white"/>
        </w:rPr>
        <w:t xml:space="preserve">государственного </w:t>
      </w:r>
      <w:r>
        <w:rPr>
          <w:b w:val="0"/>
          <w:bCs w:val="0"/>
          <w:sz w:val="28"/>
          <w:szCs w:val="28"/>
          <w:highlight w:val="white"/>
        </w:rPr>
        <w:t xml:space="preserve">имущества Пермского края в порядке приватизации </w:t>
      </w:r>
      <w:r>
        <w:rPr>
          <w:b w:val="0"/>
          <w:bCs w:val="0"/>
          <w:sz w:val="28"/>
          <w:szCs w:val="28"/>
          <w:highlight w:val="white"/>
        </w:rPr>
        <w:t xml:space="preserve">на аукционе</w:t>
      </w:r>
      <w:r>
        <w:rPr>
          <w:b w:val="0"/>
          <w:bCs w:val="0"/>
          <w:sz w:val="28"/>
          <w:szCs w:val="28"/>
          <w:highlight w:val="white"/>
        </w:rPr>
        <w:t xml:space="preserve"> в электронной форме</w:t>
      </w:r>
      <w:r>
        <w:rPr>
          <w:b w:val="0"/>
          <w:bCs w:val="0"/>
          <w:sz w:val="28"/>
          <w:szCs w:val="28"/>
          <w:highlight w:val="white"/>
        </w:rPr>
        <w:t xml:space="preserve"> по лот</w:t>
      </w:r>
      <w:r>
        <w:rPr>
          <w:b w:val="0"/>
          <w:bCs w:val="0"/>
          <w:sz w:val="28"/>
          <w:szCs w:val="28"/>
          <w:highlight w:val="white"/>
        </w:rPr>
        <w:t xml:space="preserve">у</w:t>
      </w:r>
      <w:r>
        <w:rPr>
          <w:b w:val="0"/>
          <w:bCs w:val="0"/>
          <w:sz w:val="28"/>
          <w:szCs w:val="28"/>
          <w:highlight w:val="white"/>
        </w:rPr>
        <w:t xml:space="preserve"> </w:t>
      </w:r>
      <w:r>
        <w:rPr>
          <w:b w:val="0"/>
          <w:bCs w:val="0"/>
          <w:sz w:val="28"/>
          <w:szCs w:val="28"/>
          <w:highlight w:val="white"/>
        </w:rPr>
        <w:t xml:space="preserve">№</w:t>
      </w:r>
      <w:r>
        <w:rPr>
          <w:b w:val="0"/>
          <w:bCs w:val="0"/>
          <w:sz w:val="28"/>
          <w:szCs w:val="28"/>
          <w:highlight w:val="white"/>
        </w:rPr>
        <w:t xml:space="preserve">1</w:t>
      </w:r>
      <w:r>
        <w:rPr>
          <w:b w:val="0"/>
          <w:bCs w:val="0"/>
          <w:sz w:val="28"/>
          <w:szCs w:val="28"/>
          <w:highlight w:val="white"/>
        </w:rPr>
        <w:t xml:space="preserve"> </w:t>
        <w:br/>
        <w:t xml:space="preserve">от 16 сентября 2026 г.)</w:t>
      </w:r>
      <w:r>
        <w:rPr>
          <w:b w:val="0"/>
          <w:bCs w:val="0"/>
          <w:sz w:val="28"/>
          <w:szCs w:val="28"/>
          <w:highlight w:val="white"/>
        </w:rPr>
        <w:t xml:space="preserve">;</w:t>
      </w:r>
      <w:r>
        <w:rPr>
          <w:b w:val="0"/>
          <w:bCs w:val="0"/>
          <w:sz w:val="28"/>
          <w:szCs w:val="28"/>
          <w:highlight w:val="white"/>
        </w:rPr>
      </w:r>
      <w:r>
        <w:rPr>
          <w:b w:val="0"/>
          <w:bCs w:val="0"/>
          <w:sz w:val="28"/>
          <w:szCs w:val="28"/>
          <w:highlight w:val="white"/>
        </w:rPr>
      </w:r>
    </w:p>
    <w:p>
      <w:pPr>
        <w:ind w:firstLine="708"/>
        <w:jc w:val="both"/>
        <w:spacing w:line="300" w:lineRule="exact"/>
        <w:rPr>
          <w:b/>
          <w:sz w:val="28"/>
          <w:szCs w:val="28"/>
          <w:highlight w:val="white"/>
        </w:rPr>
      </w:pPr>
      <w:r>
        <w:rPr>
          <w:rFonts w:eastAsia="Calibri"/>
          <w:b/>
          <w:bCs/>
          <w:sz w:val="28"/>
          <w:szCs w:val="28"/>
          <w:highlight w:val="white"/>
          <w:lang w:eastAsia="en-US"/>
        </w:rPr>
        <w:t xml:space="preserve">Лоты №2-4: </w:t>
      </w:r>
      <w:r>
        <w:rPr>
          <w:rFonts w:eastAsia="Calibri"/>
          <w:b w:val="0"/>
          <w:bCs w:val="0"/>
          <w:sz w:val="28"/>
          <w:szCs w:val="28"/>
          <w:highlight w:val="white"/>
          <w:lang w:eastAsia="en-US"/>
        </w:rPr>
        <w:t xml:space="preserve">продажа </w:t>
      </w:r>
      <w:bookmarkStart w:id="0" w:name="_GoBack"/>
      <w:r>
        <w:rPr>
          <w:b w:val="0"/>
          <w:bCs w:val="0"/>
          <w:highlight w:val="white"/>
        </w:rPr>
      </w:r>
      <w:bookmarkEnd w:id="0"/>
      <w:r>
        <w:rPr>
          <w:rFonts w:eastAsia="Calibri"/>
          <w:b w:val="0"/>
          <w:bCs w:val="0"/>
          <w:sz w:val="28"/>
          <w:szCs w:val="28"/>
          <w:highlight w:val="white"/>
          <w:lang w:eastAsia="en-US"/>
        </w:rPr>
        <w:t xml:space="preserve">краевого имущества </w:t>
      </w:r>
      <w:r>
        <w:rPr>
          <w:b w:val="0"/>
          <w:bCs w:val="0"/>
          <w:sz w:val="28"/>
          <w:szCs w:val="28"/>
          <w:highlight w:val="white"/>
        </w:rPr>
        <w:t xml:space="preserve">в п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рядке приватизации </w:t>
      </w:r>
      <w:r>
        <w:rPr>
          <w:sz w:val="28"/>
          <w:szCs w:val="28"/>
        </w:rPr>
        <w:t xml:space="preserve">на аукционе</w:t>
      </w:r>
      <w:r>
        <w:rPr>
          <w:rFonts w:eastAsiaTheme="minorEastAsia"/>
          <w:sz w:val="28"/>
          <w:szCs w:val="28"/>
        </w:rPr>
        <w:t xml:space="preserve"> </w:t>
        <w:br/>
        <w:t xml:space="preserve">в электронной форме по </w:t>
      </w:r>
      <w:r>
        <w:rPr>
          <w:rFonts w:eastAsiaTheme="minorEastAsia"/>
          <w:sz w:val="28"/>
          <w:szCs w:val="28"/>
        </w:rPr>
        <w:t xml:space="preserve">лот</w:t>
      </w:r>
      <w:r>
        <w:rPr>
          <w:rFonts w:eastAsiaTheme="minorEastAsia"/>
          <w:sz w:val="28"/>
          <w:szCs w:val="28"/>
        </w:rPr>
        <w:t xml:space="preserve">ам </w:t>
      </w:r>
      <w:r>
        <w:rPr>
          <w:sz w:val="28"/>
          <w:szCs w:val="28"/>
        </w:rPr>
        <w:t xml:space="preserve">№№ 2, 3, 5 признана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несостоявшейся</w:t>
      </w:r>
      <w:r>
        <w:rPr>
          <w:rFonts w:eastAsia="Calibri"/>
          <w:sz w:val="28"/>
          <w:szCs w:val="28"/>
          <w:lang w:eastAsia="en-US"/>
        </w:rPr>
        <w:t xml:space="preserve">: </w:t>
      </w:r>
      <w:r>
        <w:rPr>
          <w:sz w:val="28"/>
          <w:szCs w:val="28"/>
        </w:rPr>
        <w:t xml:space="preserve">не было подано ни одной заявки на участие </w:t>
      </w:r>
      <w:r>
        <w:rPr>
          <w:rFonts w:eastAsiaTheme="minorHAnsi"/>
          <w:sz w:val="28"/>
          <w:szCs w:val="28"/>
          <w:lang w:eastAsia="en-US"/>
        </w:rPr>
        <w:t xml:space="preserve">(п. 44 постановления Правительства РФ от 27 августа 2012 г. № 860) (Пр</w:t>
      </w:r>
      <w:r>
        <w:rPr>
          <w:rFonts w:eastAsiaTheme="minorHAnsi"/>
          <w:b w:val="0"/>
          <w:bCs w:val="0"/>
          <w:sz w:val="28"/>
          <w:szCs w:val="28"/>
          <w:highlight w:val="white"/>
          <w:lang w:eastAsia="en-US"/>
        </w:rPr>
        <w:t xml:space="preserve">отокол </w:t>
      </w:r>
      <w:r>
        <w:rPr>
          <w:b w:val="0"/>
          <w:bCs w:val="0"/>
          <w:sz w:val="28"/>
          <w:szCs w:val="28"/>
          <w:highlight w:val="white"/>
        </w:rPr>
        <w:t xml:space="preserve">об</w:t>
      </w:r>
      <w:r>
        <w:rPr>
          <w:b w:val="0"/>
          <w:bCs w:val="0"/>
          <w:sz w:val="28"/>
          <w:szCs w:val="28"/>
          <w:highlight w:val="white"/>
        </w:rPr>
        <w:t xml:space="preserve"> итогах продажи </w:t>
      </w:r>
      <w:r>
        <w:rPr>
          <w:b w:val="0"/>
          <w:bCs w:val="0"/>
          <w:sz w:val="28"/>
          <w:szCs w:val="28"/>
          <w:highlight w:val="white"/>
        </w:rPr>
        <w:t xml:space="preserve">государственного </w:t>
      </w:r>
      <w:r>
        <w:rPr>
          <w:b w:val="0"/>
          <w:bCs w:val="0"/>
          <w:sz w:val="28"/>
          <w:szCs w:val="28"/>
          <w:highlight w:val="white"/>
        </w:rPr>
        <w:t xml:space="preserve">имущества Пермского края в порядке приватизации </w:t>
      </w:r>
      <w:r>
        <w:rPr>
          <w:b w:val="0"/>
          <w:bCs w:val="0"/>
          <w:sz w:val="28"/>
          <w:szCs w:val="28"/>
          <w:highlight w:val="white"/>
        </w:rPr>
        <w:t xml:space="preserve">на аукционе</w:t>
      </w:r>
      <w:r>
        <w:rPr>
          <w:b w:val="0"/>
          <w:bCs w:val="0"/>
          <w:sz w:val="28"/>
          <w:szCs w:val="28"/>
          <w:highlight w:val="white"/>
        </w:rPr>
        <w:t xml:space="preserve"> в электронной форме</w:t>
      </w:r>
      <w:r>
        <w:rPr>
          <w:b w:val="0"/>
          <w:bCs w:val="0"/>
          <w:sz w:val="28"/>
          <w:szCs w:val="28"/>
          <w:highlight w:val="white"/>
        </w:rPr>
        <w:t xml:space="preserve"> </w:t>
      </w:r>
      <w:r>
        <w:rPr>
          <w:b w:val="0"/>
          <w:bCs w:val="0"/>
          <w:sz w:val="28"/>
          <w:szCs w:val="28"/>
          <w:highlight w:val="white"/>
        </w:rPr>
        <w:t xml:space="preserve">по лотам №№</w:t>
      </w:r>
      <w:r>
        <w:rPr>
          <w:b w:val="0"/>
          <w:bCs w:val="0"/>
          <w:sz w:val="28"/>
          <w:szCs w:val="28"/>
          <w:highlight w:val="white"/>
        </w:rPr>
        <w:t xml:space="preserve"> 2,</w:t>
      </w:r>
      <w:r>
        <w:rPr>
          <w:b w:val="0"/>
          <w:bCs w:val="0"/>
          <w:sz w:val="28"/>
          <w:szCs w:val="28"/>
          <w:highlight w:val="white"/>
        </w:rPr>
        <w:t xml:space="preserve"> 3</w:t>
      </w:r>
      <w:r>
        <w:rPr>
          <w:b w:val="0"/>
          <w:bCs w:val="0"/>
          <w:sz w:val="28"/>
          <w:szCs w:val="28"/>
          <w:highlight w:val="white"/>
        </w:rPr>
        <w:t xml:space="preserve">, 5</w:t>
      </w:r>
      <w:r>
        <w:rPr>
          <w:b w:val="0"/>
          <w:bCs w:val="0"/>
          <w:sz w:val="28"/>
          <w:szCs w:val="28"/>
          <w:highlight w:val="white"/>
        </w:rPr>
        <w:t xml:space="preserve"> от 16 сентября 2026 г.)</w:t>
      </w:r>
      <w:r>
        <w:rPr>
          <w:b w:val="0"/>
          <w:bCs w:val="0"/>
          <w:sz w:val="28"/>
          <w:szCs w:val="28"/>
          <w:highlight w:val="white"/>
        </w:rPr>
        <w:t xml:space="preserve">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b w:val="0"/>
          <w:bCs w:val="0"/>
          <w:sz w:val="28"/>
          <w:szCs w:val="28"/>
          <w:highlight w:val="white"/>
        </w:rPr>
      </w:pPr>
      <w:r>
        <w:rPr>
          <w:b w:val="0"/>
          <w:bCs w:val="0"/>
          <w:sz w:val="28"/>
          <w:szCs w:val="28"/>
          <w:highlight w:val="white"/>
        </w:rPr>
      </w:r>
      <w:r>
        <w:rPr>
          <w:b w:val="0"/>
          <w:bCs w:val="0"/>
          <w:sz w:val="28"/>
          <w:szCs w:val="28"/>
          <w:highlight w:val="white"/>
        </w:rPr>
      </w:r>
      <w:r>
        <w:rPr>
          <w:b w:val="0"/>
          <w:bCs w:val="0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b w:val="0"/>
          <w:bCs w:val="0"/>
          <w:sz w:val="28"/>
          <w:szCs w:val="28"/>
          <w:highlight w:val="white"/>
        </w:rPr>
      </w:pPr>
      <w:r>
        <w:rPr>
          <w:b w:val="0"/>
          <w:bCs w:val="0"/>
          <w:sz w:val="28"/>
          <w:szCs w:val="28"/>
          <w:highlight w:val="white"/>
        </w:rPr>
      </w:r>
      <w:r>
        <w:rPr>
          <w:b w:val="0"/>
          <w:bCs w:val="0"/>
          <w:sz w:val="28"/>
          <w:szCs w:val="28"/>
          <w:highlight w:val="white"/>
        </w:rPr>
      </w:r>
      <w:r>
        <w:rPr>
          <w:b w:val="0"/>
          <w:bCs w:val="0"/>
          <w:sz w:val="28"/>
          <w:szCs w:val="28"/>
          <w:highlight w:val="white"/>
        </w:rPr>
      </w:r>
    </w:p>
    <w:p>
      <w:pPr>
        <w:ind w:firstLine="0"/>
        <w:jc w:val="both"/>
        <w:spacing w:line="260" w:lineRule="exact"/>
        <w:tabs>
          <w:tab w:val="left" w:pos="1418" w:leader="none"/>
        </w:tabs>
        <w:rPr>
          <w:b w:val="0"/>
          <w:bCs w:val="0"/>
          <w:sz w:val="28"/>
          <w:szCs w:val="28"/>
          <w:highlight w:val="white"/>
        </w:rPr>
      </w:pPr>
      <w:r>
        <w:rPr>
          <w:b w:val="0"/>
          <w:bCs w:val="0"/>
          <w:sz w:val="28"/>
          <w:szCs w:val="28"/>
          <w:highlight w:val="white"/>
        </w:rPr>
      </w:r>
      <w:r>
        <w:rPr>
          <w:b w:val="0"/>
          <w:bCs w:val="0"/>
          <w:sz w:val="28"/>
          <w:szCs w:val="28"/>
          <w:highlight w:val="white"/>
        </w:rPr>
      </w:r>
      <w:r>
        <w:rPr>
          <w:b w:val="0"/>
          <w:bCs w:val="0"/>
          <w:sz w:val="28"/>
          <w:szCs w:val="28"/>
          <w:highlight w:val="white"/>
        </w:rPr>
      </w:r>
    </w:p>
    <w:sectPr>
      <w:footnotePr/>
      <w:endnotePr/>
      <w:type w:val="nextPage"/>
      <w:pgSz w:w="11906" w:h="16838" w:orient="portrait"/>
      <w:pgMar w:top="1276" w:right="707" w:bottom="1135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mbria">
    <w:panose1 w:val="02040803050406030204"/>
  </w:font>
  <w:font w:name="Calibri">
    <w:panose1 w:val="020F0502020204030204"/>
  </w:font>
  <w:font w:name="Courier New">
    <w:panose1 w:val="02070309020205020404"/>
  </w:font>
  <w:font w:name="Trebuchet MS">
    <w:panose1 w:val="020B0603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5"/>
      <w:numFmt w:val="bullet"/>
      <w:isLgl w:val="false"/>
      <w:suff w:val="tab"/>
      <w:lvlText w:val="-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14"/>
      <w:numFmt w:val="decimal"/>
      <w:isLgl w:val="false"/>
      <w:suff w:val="tab"/>
      <w:lvlText w:val="%1"/>
      <w:lvlJc w:val="left"/>
      <w:pPr>
        <w:ind w:left="2412" w:hanging="1095"/>
        <w:tabs>
          <w:tab w:val="num" w:pos="2412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397" w:hanging="360"/>
        <w:tabs>
          <w:tab w:val="num" w:pos="239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17" w:hanging="180"/>
        <w:tabs>
          <w:tab w:val="num" w:pos="311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37" w:hanging="360"/>
        <w:tabs>
          <w:tab w:val="num" w:pos="383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57" w:hanging="360"/>
        <w:tabs>
          <w:tab w:val="num" w:pos="455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77" w:hanging="180"/>
        <w:tabs>
          <w:tab w:val="num" w:pos="527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97" w:hanging="360"/>
        <w:tabs>
          <w:tab w:val="num" w:pos="599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17" w:hanging="360"/>
        <w:tabs>
          <w:tab w:val="num" w:pos="671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37" w:hanging="180"/>
        <w:tabs>
          <w:tab w:val="num" w:pos="7437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164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236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308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380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452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524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596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6687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42" w:hanging="9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ascii="Times New Roman" w:hAnsi="Times New Roman" w:cs="Times New Roman"/>
        <w:sz w:val="24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 w:eastAsia="Times New Roman"/>
        <w:b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12"/>
  </w:num>
  <w:num w:numId="5">
    <w:abstractNumId w:val="10"/>
  </w:num>
  <w:num w:numId="6">
    <w:abstractNumId w:val="5"/>
  </w:num>
  <w:num w:numId="7">
    <w:abstractNumId w:val="17"/>
  </w:num>
  <w:num w:numId="8">
    <w:abstractNumId w:val="20"/>
  </w:num>
  <w:num w:numId="9">
    <w:abstractNumId w:val="16"/>
  </w:num>
  <w:num w:numId="10">
    <w:abstractNumId w:val="21"/>
  </w:num>
  <w:num w:numId="11">
    <w:abstractNumId w:val="4"/>
  </w:num>
  <w:num w:numId="12">
    <w:abstractNumId w:val="2"/>
  </w:num>
  <w:num w:numId="13">
    <w:abstractNumId w:val="7"/>
  </w:num>
  <w:num w:numId="14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6"/>
  </w:num>
  <w:num w:numId="17">
    <w:abstractNumId w:val="8"/>
  </w:num>
  <w:num w:numId="18">
    <w:abstractNumId w:val="18"/>
  </w:num>
  <w:num w:numId="19">
    <w:abstractNumId w:val="15"/>
  </w:num>
  <w:num w:numId="20">
    <w:abstractNumId w:val="1"/>
  </w:num>
  <w:num w:numId="21">
    <w:abstractNumId w:val="13"/>
  </w:num>
  <w:num w:numId="22">
    <w:abstractNumId w:val="19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0">
    <w:name w:val="Heading 4 Char"/>
    <w:basedOn w:val="720"/>
    <w:link w:val="71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1">
    <w:name w:val="Heading 5 Char"/>
    <w:basedOn w:val="720"/>
    <w:link w:val="71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2">
    <w:name w:val="Heading 7 Char"/>
    <w:basedOn w:val="720"/>
    <w:link w:val="71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3">
    <w:name w:val="Heading 8 Char"/>
    <w:basedOn w:val="720"/>
    <w:link w:val="71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4">
    <w:name w:val="Heading 9 Char"/>
    <w:basedOn w:val="720"/>
    <w:link w:val="71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5">
    <w:name w:val="Subtitle Char"/>
    <w:basedOn w:val="720"/>
    <w:link w:val="733"/>
    <w:uiPriority w:val="11"/>
    <w:rPr>
      <w:sz w:val="24"/>
      <w:szCs w:val="24"/>
    </w:rPr>
  </w:style>
  <w:style w:type="character" w:styleId="706">
    <w:name w:val="Quote Char"/>
    <w:link w:val="735"/>
    <w:uiPriority w:val="29"/>
    <w:rPr>
      <w:i/>
    </w:rPr>
  </w:style>
  <w:style w:type="character" w:styleId="707">
    <w:name w:val="Intense Quote Char"/>
    <w:link w:val="737"/>
    <w:uiPriority w:val="30"/>
    <w:rPr>
      <w:i/>
    </w:rPr>
  </w:style>
  <w:style w:type="character" w:styleId="708">
    <w:name w:val="Caption Char"/>
    <w:basedOn w:val="720"/>
    <w:link w:val="741"/>
    <w:uiPriority w:val="35"/>
    <w:rPr>
      <w:b/>
      <w:bCs/>
      <w:color w:val="4f81bd" w:themeColor="accent1"/>
      <w:sz w:val="18"/>
      <w:szCs w:val="18"/>
    </w:rPr>
  </w:style>
  <w:style w:type="character" w:styleId="709">
    <w:name w:val="Endnote Text Char"/>
    <w:link w:val="869"/>
    <w:uiPriority w:val="99"/>
    <w:rPr>
      <w:sz w:val="20"/>
    </w:rPr>
  </w:style>
  <w:style w:type="paragraph" w:styleId="71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11">
    <w:name w:val="Heading 1"/>
    <w:basedOn w:val="710"/>
    <w:next w:val="710"/>
    <w:link w:val="902"/>
    <w:qFormat/>
    <w:pPr>
      <w:ind w:left="1080" w:right="4855" w:hanging="540"/>
      <w:keepNext/>
      <w:tabs>
        <w:tab w:val="left" w:pos="4500" w:leader="none"/>
      </w:tabs>
      <w:outlineLvl w:val="0"/>
    </w:pPr>
    <w:rPr>
      <w:b/>
      <w:bCs/>
      <w:sz w:val="18"/>
    </w:rPr>
  </w:style>
  <w:style w:type="paragraph" w:styleId="712">
    <w:name w:val="Heading 2"/>
    <w:basedOn w:val="710"/>
    <w:next w:val="710"/>
    <w:link w:val="903"/>
    <w:qFormat/>
    <w:pPr>
      <w:ind w:left="1080" w:right="4855" w:hanging="540"/>
      <w:keepNext/>
      <w:tabs>
        <w:tab w:val="left" w:pos="4500" w:leader="none"/>
      </w:tabs>
      <w:outlineLvl w:val="1"/>
    </w:pPr>
    <w:rPr>
      <w:b/>
      <w:bCs/>
      <w:sz w:val="16"/>
    </w:rPr>
  </w:style>
  <w:style w:type="paragraph" w:styleId="713">
    <w:name w:val="Heading 3"/>
    <w:basedOn w:val="710"/>
    <w:next w:val="710"/>
    <w:link w:val="904"/>
    <w:qFormat/>
    <w:pPr>
      <w:ind w:left="1080" w:right="4855" w:hanging="540"/>
      <w:keepNext/>
      <w:tabs>
        <w:tab w:val="left" w:pos="4500" w:leader="none"/>
      </w:tabs>
      <w:outlineLvl w:val="2"/>
    </w:pPr>
    <w:rPr>
      <w:b/>
      <w:bCs/>
      <w:sz w:val="20"/>
    </w:rPr>
  </w:style>
  <w:style w:type="paragraph" w:styleId="714">
    <w:name w:val="Heading 4"/>
    <w:basedOn w:val="710"/>
    <w:next w:val="710"/>
    <w:link w:val="72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5">
    <w:name w:val="Heading 5"/>
    <w:basedOn w:val="710"/>
    <w:next w:val="710"/>
    <w:link w:val="72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16">
    <w:name w:val="Heading 6"/>
    <w:basedOn w:val="710"/>
    <w:next w:val="710"/>
    <w:link w:val="905"/>
    <w:qFormat/>
    <w:pPr>
      <w:ind w:left="72" w:right="72"/>
      <w:jc w:val="center"/>
      <w:keepNext/>
      <w:tabs>
        <w:tab w:val="left" w:pos="72" w:leader="none"/>
        <w:tab w:val="left" w:pos="6192" w:leader="none"/>
      </w:tabs>
      <w:outlineLvl w:val="5"/>
    </w:pPr>
    <w:rPr>
      <w:b/>
      <w:bCs/>
      <w:sz w:val="20"/>
    </w:rPr>
  </w:style>
  <w:style w:type="paragraph" w:styleId="717">
    <w:name w:val="Heading 7"/>
    <w:basedOn w:val="710"/>
    <w:next w:val="710"/>
    <w:link w:val="72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8">
    <w:name w:val="Heading 8"/>
    <w:basedOn w:val="710"/>
    <w:next w:val="710"/>
    <w:link w:val="73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710"/>
    <w:next w:val="710"/>
    <w:link w:val="73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 w:default="1">
    <w:name w:val="Default Paragraph Font"/>
    <w:uiPriority w:val="1"/>
    <w:semiHidden/>
    <w:unhideWhenUsed/>
  </w:style>
  <w:style w:type="table" w:styleId="7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2" w:default="1">
    <w:name w:val="No List"/>
    <w:uiPriority w:val="99"/>
    <w:semiHidden/>
    <w:unhideWhenUsed/>
  </w:style>
  <w:style w:type="character" w:styleId="723" w:customStyle="1">
    <w:name w:val="Heading 1 Char"/>
    <w:basedOn w:val="720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Heading 2 Char"/>
    <w:basedOn w:val="720"/>
    <w:uiPriority w:val="9"/>
    <w:rPr>
      <w:rFonts w:ascii="Arial" w:hAnsi="Arial" w:eastAsia="Arial" w:cs="Arial"/>
      <w:sz w:val="34"/>
    </w:rPr>
  </w:style>
  <w:style w:type="character" w:styleId="725" w:customStyle="1">
    <w:name w:val="Heading 3 Char"/>
    <w:basedOn w:val="720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Заголовок 4 Знак"/>
    <w:basedOn w:val="720"/>
    <w:link w:val="714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Заголовок 5 Знак"/>
    <w:basedOn w:val="720"/>
    <w:link w:val="715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Heading 6 Char"/>
    <w:basedOn w:val="720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basedOn w:val="720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basedOn w:val="720"/>
    <w:link w:val="718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basedOn w:val="720"/>
    <w:link w:val="719"/>
    <w:uiPriority w:val="9"/>
    <w:rPr>
      <w:rFonts w:ascii="Arial" w:hAnsi="Arial" w:eastAsia="Arial" w:cs="Arial"/>
      <w:i/>
      <w:iCs/>
      <w:sz w:val="21"/>
      <w:szCs w:val="21"/>
    </w:rPr>
  </w:style>
  <w:style w:type="character" w:styleId="732" w:customStyle="1">
    <w:name w:val="Title Char"/>
    <w:basedOn w:val="720"/>
    <w:uiPriority w:val="10"/>
    <w:rPr>
      <w:sz w:val="48"/>
      <w:szCs w:val="48"/>
    </w:rPr>
  </w:style>
  <w:style w:type="paragraph" w:styleId="733">
    <w:name w:val="Subtitle"/>
    <w:basedOn w:val="710"/>
    <w:next w:val="710"/>
    <w:link w:val="734"/>
    <w:uiPriority w:val="11"/>
    <w:qFormat/>
    <w:pPr>
      <w:spacing w:before="200" w:after="200"/>
    </w:pPr>
  </w:style>
  <w:style w:type="character" w:styleId="734" w:customStyle="1">
    <w:name w:val="Подзаголовок Знак"/>
    <w:basedOn w:val="720"/>
    <w:link w:val="733"/>
    <w:uiPriority w:val="11"/>
    <w:rPr>
      <w:sz w:val="24"/>
      <w:szCs w:val="24"/>
    </w:rPr>
  </w:style>
  <w:style w:type="paragraph" w:styleId="735">
    <w:name w:val="Quote"/>
    <w:basedOn w:val="710"/>
    <w:next w:val="710"/>
    <w:link w:val="736"/>
    <w:uiPriority w:val="29"/>
    <w:qFormat/>
    <w:pPr>
      <w:ind w:left="720" w:right="720"/>
    </w:pPr>
    <w:rPr>
      <w:i/>
    </w:rPr>
  </w:style>
  <w:style w:type="character" w:styleId="736" w:customStyle="1">
    <w:name w:val="Цитата 2 Знак"/>
    <w:link w:val="735"/>
    <w:uiPriority w:val="29"/>
    <w:rPr>
      <w:i/>
    </w:rPr>
  </w:style>
  <w:style w:type="paragraph" w:styleId="737">
    <w:name w:val="Intense Quote"/>
    <w:basedOn w:val="710"/>
    <w:next w:val="710"/>
    <w:link w:val="73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8" w:customStyle="1">
    <w:name w:val="Выделенная цитата Знак"/>
    <w:link w:val="737"/>
    <w:uiPriority w:val="30"/>
    <w:rPr>
      <w:i/>
    </w:rPr>
  </w:style>
  <w:style w:type="character" w:styleId="739" w:customStyle="1">
    <w:name w:val="Header Char"/>
    <w:basedOn w:val="720"/>
    <w:uiPriority w:val="99"/>
  </w:style>
  <w:style w:type="character" w:styleId="740" w:customStyle="1">
    <w:name w:val="Footer Char"/>
    <w:basedOn w:val="720"/>
    <w:uiPriority w:val="99"/>
  </w:style>
  <w:style w:type="paragraph" w:styleId="741">
    <w:name w:val="Caption"/>
    <w:basedOn w:val="710"/>
    <w:next w:val="710"/>
    <w:link w:val="7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2" w:customStyle="1">
    <w:name w:val="Название объекта Знак"/>
    <w:basedOn w:val="720"/>
    <w:link w:val="741"/>
    <w:uiPriority w:val="35"/>
    <w:rPr>
      <w:b/>
      <w:bCs/>
      <w:color w:val="4f81bd" w:themeColor="accent1"/>
      <w:sz w:val="18"/>
      <w:szCs w:val="18"/>
    </w:rPr>
  </w:style>
  <w:style w:type="table" w:styleId="743" w:customStyle="1">
    <w:name w:val="Table Grid Light"/>
    <w:basedOn w:val="72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>
    <w:name w:val="Plain Table 1"/>
    <w:basedOn w:val="72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2"/>
    <w:basedOn w:val="7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>
    <w:name w:val="Plain Table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7">
    <w:name w:val="Plain Table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Plain Table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9">
    <w:name w:val="Grid Table 1 Light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4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1" w:customStyle="1">
    <w:name w:val="Grid Table 4 - Accent 1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2" w:customStyle="1">
    <w:name w:val="Grid Table 4 - Accent 2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3" w:customStyle="1">
    <w:name w:val="Grid Table 4 - Accent 3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4" w:customStyle="1">
    <w:name w:val="Grid Table 4 - Accent 4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5" w:customStyle="1">
    <w:name w:val="Grid Table 4 - Accent 5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6" w:customStyle="1">
    <w:name w:val="Grid Table 4 - Accent 6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7">
    <w:name w:val="Grid Table 5 Dark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4">
    <w:name w:val="Grid Table 6 Colorful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5" w:customStyle="1">
    <w:name w:val="Grid Table 6 Colorful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6" w:customStyle="1">
    <w:name w:val="Grid Table 6 Colorful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7" w:customStyle="1">
    <w:name w:val="Grid Table 6 Colorful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8" w:customStyle="1">
    <w:name w:val="Grid Table 6 Colorful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9" w:customStyle="1">
    <w:name w:val="Grid Table 6 Colorful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0" w:customStyle="1">
    <w:name w:val="Grid Table 6 Colorful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1">
    <w:name w:val="Grid Table 7 Colorful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7 Colorful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7 Colorful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2">
    <w:name w:val="List Table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5 Dark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>
    <w:name w:val="List Table 6 Colorful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4" w:customStyle="1">
    <w:name w:val="List Table 6 Colorful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5" w:customStyle="1">
    <w:name w:val="List Table 6 Colorful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6" w:customStyle="1">
    <w:name w:val="List Table 6 Colorful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7" w:customStyle="1">
    <w:name w:val="List Table 6 Colorful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8" w:customStyle="1">
    <w:name w:val="List Table 6 Colorful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9" w:customStyle="1">
    <w:name w:val="List Table 6 Colorful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0">
    <w:name w:val="List Table 7 Colorful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7 Colorful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7 Colorful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ned - Accent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8" w:customStyle="1">
    <w:name w:val="Lined - Accent 1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9" w:customStyle="1">
    <w:name w:val="Lined - Accent 2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0" w:customStyle="1">
    <w:name w:val="Lined - Accent 3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1" w:customStyle="1">
    <w:name w:val="Lined - Accent 4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2" w:customStyle="1">
    <w:name w:val="Lined - Accent 5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3" w:customStyle="1">
    <w:name w:val="Lined - Accent 6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4" w:customStyle="1">
    <w:name w:val="Bordered &amp; Lined - Accent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5" w:customStyle="1">
    <w:name w:val="Bordered &amp; Lined - Accent 1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6" w:customStyle="1">
    <w:name w:val="Bordered &amp; Lined - Accent 2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7" w:customStyle="1">
    <w:name w:val="Bordered &amp; Lined - Accent 3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8" w:customStyle="1">
    <w:name w:val="Bordered &amp; Lined - Accent 4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9" w:customStyle="1">
    <w:name w:val="Bordered &amp; Lined - Accent 5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0" w:customStyle="1">
    <w:name w:val="Bordered &amp; Lined - Accent 6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1" w:customStyle="1">
    <w:name w:val="Bordered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2" w:customStyle="1">
    <w:name w:val="Bordered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3" w:customStyle="1">
    <w:name w:val="Bordered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4" w:customStyle="1">
    <w:name w:val="Bordered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5" w:customStyle="1">
    <w:name w:val="Bordered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6" w:customStyle="1">
    <w:name w:val="Bordered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7" w:customStyle="1">
    <w:name w:val="Bordered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68" w:customStyle="1">
    <w:name w:val="Footnote Text Char"/>
    <w:uiPriority w:val="99"/>
    <w:rPr>
      <w:sz w:val="18"/>
    </w:rPr>
  </w:style>
  <w:style w:type="paragraph" w:styleId="869">
    <w:name w:val="endnote text"/>
    <w:basedOn w:val="710"/>
    <w:link w:val="870"/>
    <w:uiPriority w:val="99"/>
    <w:semiHidden/>
    <w:unhideWhenUsed/>
    <w:rPr>
      <w:sz w:val="20"/>
    </w:rPr>
  </w:style>
  <w:style w:type="character" w:styleId="870" w:customStyle="1">
    <w:name w:val="Текст концевой сноски Знак"/>
    <w:link w:val="869"/>
    <w:uiPriority w:val="99"/>
    <w:rPr>
      <w:sz w:val="20"/>
    </w:rPr>
  </w:style>
  <w:style w:type="character" w:styleId="871">
    <w:name w:val="endnote reference"/>
    <w:basedOn w:val="720"/>
    <w:uiPriority w:val="99"/>
    <w:semiHidden/>
    <w:unhideWhenUsed/>
    <w:rPr>
      <w:vertAlign w:val="superscript"/>
    </w:rPr>
  </w:style>
  <w:style w:type="paragraph" w:styleId="872">
    <w:name w:val="toc 1"/>
    <w:basedOn w:val="710"/>
    <w:next w:val="710"/>
    <w:uiPriority w:val="39"/>
    <w:unhideWhenUsed/>
    <w:pPr>
      <w:spacing w:after="57"/>
    </w:pPr>
  </w:style>
  <w:style w:type="paragraph" w:styleId="873">
    <w:name w:val="toc 2"/>
    <w:basedOn w:val="710"/>
    <w:next w:val="710"/>
    <w:uiPriority w:val="39"/>
    <w:unhideWhenUsed/>
    <w:pPr>
      <w:ind w:left="283"/>
      <w:spacing w:after="57"/>
    </w:pPr>
  </w:style>
  <w:style w:type="paragraph" w:styleId="874">
    <w:name w:val="toc 3"/>
    <w:basedOn w:val="710"/>
    <w:next w:val="710"/>
    <w:uiPriority w:val="39"/>
    <w:unhideWhenUsed/>
    <w:pPr>
      <w:ind w:left="567"/>
      <w:spacing w:after="57"/>
    </w:pPr>
  </w:style>
  <w:style w:type="paragraph" w:styleId="875">
    <w:name w:val="toc 4"/>
    <w:basedOn w:val="710"/>
    <w:next w:val="710"/>
    <w:uiPriority w:val="39"/>
    <w:unhideWhenUsed/>
    <w:pPr>
      <w:ind w:left="850"/>
      <w:spacing w:after="57"/>
    </w:pPr>
  </w:style>
  <w:style w:type="paragraph" w:styleId="876">
    <w:name w:val="toc 5"/>
    <w:basedOn w:val="710"/>
    <w:next w:val="710"/>
    <w:uiPriority w:val="39"/>
    <w:unhideWhenUsed/>
    <w:pPr>
      <w:ind w:left="1134"/>
      <w:spacing w:after="57"/>
    </w:pPr>
  </w:style>
  <w:style w:type="paragraph" w:styleId="877">
    <w:name w:val="toc 6"/>
    <w:basedOn w:val="710"/>
    <w:next w:val="710"/>
    <w:uiPriority w:val="39"/>
    <w:unhideWhenUsed/>
    <w:pPr>
      <w:ind w:left="1417"/>
      <w:spacing w:after="57"/>
    </w:pPr>
  </w:style>
  <w:style w:type="paragraph" w:styleId="878">
    <w:name w:val="toc 7"/>
    <w:basedOn w:val="710"/>
    <w:next w:val="710"/>
    <w:uiPriority w:val="39"/>
    <w:unhideWhenUsed/>
    <w:pPr>
      <w:ind w:left="1701"/>
      <w:spacing w:after="57"/>
    </w:pPr>
  </w:style>
  <w:style w:type="paragraph" w:styleId="879">
    <w:name w:val="toc 8"/>
    <w:basedOn w:val="710"/>
    <w:next w:val="710"/>
    <w:uiPriority w:val="39"/>
    <w:unhideWhenUsed/>
    <w:pPr>
      <w:ind w:left="1984"/>
      <w:spacing w:after="57"/>
    </w:pPr>
  </w:style>
  <w:style w:type="paragraph" w:styleId="880">
    <w:name w:val="toc 9"/>
    <w:basedOn w:val="710"/>
    <w:next w:val="710"/>
    <w:uiPriority w:val="39"/>
    <w:unhideWhenUsed/>
    <w:pPr>
      <w:ind w:left="2268"/>
      <w:spacing w:after="57"/>
    </w:pPr>
  </w:style>
  <w:style w:type="paragraph" w:styleId="881">
    <w:name w:val="TOC Heading"/>
    <w:uiPriority w:val="39"/>
    <w:unhideWhenUsed/>
  </w:style>
  <w:style w:type="paragraph" w:styleId="882">
    <w:name w:val="table of figures"/>
    <w:basedOn w:val="710"/>
    <w:next w:val="710"/>
    <w:uiPriority w:val="99"/>
    <w:unhideWhenUsed/>
  </w:style>
  <w:style w:type="paragraph" w:styleId="883">
    <w:name w:val="List Paragraph"/>
    <w:basedOn w:val="710"/>
    <w:uiPriority w:val="34"/>
    <w:qFormat/>
    <w:pPr>
      <w:contextualSpacing/>
      <w:ind w:left="720"/>
    </w:pPr>
  </w:style>
  <w:style w:type="paragraph" w:styleId="884" w:customStyle="1">
    <w:name w:val="Стиль ис"/>
    <w:basedOn w:val="710"/>
    <w:link w:val="886"/>
    <w:qFormat/>
    <w:pPr>
      <w:ind w:firstLine="567"/>
      <w:jc w:val="both"/>
      <w:tabs>
        <w:tab w:val="left" w:pos="851" w:leader="none"/>
      </w:tabs>
    </w:pPr>
  </w:style>
  <w:style w:type="paragraph" w:styleId="885" w:customStyle="1">
    <w:name w:val="Стиль ИСС"/>
    <w:basedOn w:val="710"/>
    <w:link w:val="887"/>
    <w:qFormat/>
    <w:pPr>
      <w:ind w:firstLine="567"/>
      <w:jc w:val="both"/>
      <w:tabs>
        <w:tab w:val="left" w:pos="851" w:leader="none"/>
      </w:tabs>
    </w:pPr>
  </w:style>
  <w:style w:type="character" w:styleId="886" w:customStyle="1">
    <w:name w:val="Стиль ис Знак"/>
    <w:link w:val="88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7" w:customStyle="1">
    <w:name w:val="Стиль ИСС Знак"/>
    <w:link w:val="885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88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889">
    <w:name w:val="Hyperlink"/>
    <w:uiPriority w:val="99"/>
    <w:unhideWhenUsed/>
    <w:rPr>
      <w:color w:val="0000ff"/>
      <w:u w:val="single"/>
    </w:rPr>
  </w:style>
  <w:style w:type="paragraph" w:styleId="890">
    <w:name w:val="Balloon Text"/>
    <w:basedOn w:val="710"/>
    <w:link w:val="891"/>
    <w:unhideWhenUsed/>
    <w:rPr>
      <w:rFonts w:ascii="Tahoma" w:hAnsi="Tahoma" w:cs="Tahoma"/>
      <w:sz w:val="16"/>
      <w:szCs w:val="16"/>
    </w:rPr>
  </w:style>
  <w:style w:type="character" w:styleId="891" w:customStyle="1">
    <w:name w:val="Текст выноски Знак"/>
    <w:basedOn w:val="720"/>
    <w:link w:val="890"/>
    <w:rPr>
      <w:rFonts w:ascii="Tahoma" w:hAnsi="Tahoma" w:eastAsia="Times New Roman" w:cs="Tahoma"/>
      <w:sz w:val="16"/>
      <w:szCs w:val="16"/>
      <w:lang w:eastAsia="ru-RU"/>
    </w:rPr>
  </w:style>
  <w:style w:type="paragraph" w:styleId="892" w:customStyle="1">
    <w:name w:val="Исполнитель"/>
    <w:basedOn w:val="893"/>
    <w:pPr>
      <w:ind w:firstLine="709"/>
      <w:jc w:val="both"/>
      <w:spacing w:after="0" w:line="240" w:lineRule="exact"/>
    </w:pPr>
    <w:rPr>
      <w:sz w:val="28"/>
      <w:szCs w:val="20"/>
    </w:rPr>
  </w:style>
  <w:style w:type="paragraph" w:styleId="893">
    <w:name w:val="Body Text"/>
    <w:basedOn w:val="710"/>
    <w:link w:val="894"/>
    <w:unhideWhenUsed/>
    <w:pPr>
      <w:spacing w:after="120"/>
    </w:pPr>
  </w:style>
  <w:style w:type="character" w:styleId="894" w:customStyle="1">
    <w:name w:val="Основной текст Знак"/>
    <w:basedOn w:val="720"/>
    <w:link w:val="893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5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6">
    <w:name w:val="footnote text"/>
    <w:basedOn w:val="710"/>
    <w:link w:val="897"/>
    <w:semiHidden/>
    <w:unhideWhenUsed/>
    <w:rPr>
      <w:sz w:val="20"/>
      <w:szCs w:val="20"/>
    </w:rPr>
  </w:style>
  <w:style w:type="character" w:styleId="897" w:customStyle="1">
    <w:name w:val="Текст сноски Знак"/>
    <w:basedOn w:val="720"/>
    <w:link w:val="896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98">
    <w:name w:val="footnote reference"/>
    <w:basedOn w:val="720"/>
    <w:uiPriority w:val="99"/>
    <w:semiHidden/>
    <w:unhideWhenUsed/>
    <w:rPr>
      <w:vertAlign w:val="superscript"/>
    </w:rPr>
  </w:style>
  <w:style w:type="paragraph" w:styleId="899" w:customStyle="1">
    <w:name w:val="ConsPlusNormal"/>
    <w:pPr>
      <w:spacing w:after="0" w:line="240" w:lineRule="auto"/>
      <w:widowControl w:val="off"/>
    </w:pPr>
    <w:rPr>
      <w:rFonts w:ascii="Arial" w:hAnsi="Arial" w:cs="Arial" w:eastAsiaTheme="minorEastAsia"/>
      <w:sz w:val="20"/>
      <w:szCs w:val="20"/>
      <w:lang w:eastAsia="ru-RU"/>
    </w:rPr>
  </w:style>
  <w:style w:type="paragraph" w:styleId="900" w:customStyle="1">
    <w:name w:val="СтильИС"/>
    <w:basedOn w:val="710"/>
    <w:link w:val="901"/>
    <w:qFormat/>
    <w:pPr>
      <w:ind w:right="21"/>
      <w:jc w:val="center"/>
    </w:pPr>
    <w:rPr>
      <w:sz w:val="22"/>
      <w:szCs w:val="22"/>
    </w:rPr>
  </w:style>
  <w:style w:type="character" w:styleId="901" w:customStyle="1">
    <w:name w:val="СтильИС Знак"/>
    <w:link w:val="900"/>
    <w:rPr>
      <w:rFonts w:ascii="Times New Roman" w:hAnsi="Times New Roman" w:eastAsia="Times New Roman" w:cs="Times New Roman"/>
      <w:lang w:eastAsia="ru-RU"/>
    </w:rPr>
  </w:style>
  <w:style w:type="character" w:styleId="902" w:customStyle="1">
    <w:name w:val="Заголовок 1 Знак"/>
    <w:basedOn w:val="720"/>
    <w:link w:val="711"/>
    <w:rPr>
      <w:rFonts w:ascii="Times New Roman" w:hAnsi="Times New Roman" w:eastAsia="Times New Roman" w:cs="Times New Roman"/>
      <w:b/>
      <w:bCs/>
      <w:sz w:val="18"/>
      <w:szCs w:val="24"/>
      <w:lang w:eastAsia="ru-RU"/>
    </w:rPr>
  </w:style>
  <w:style w:type="character" w:styleId="903" w:customStyle="1">
    <w:name w:val="Заголовок 2 Знак"/>
    <w:basedOn w:val="720"/>
    <w:link w:val="712"/>
    <w:rPr>
      <w:rFonts w:ascii="Times New Roman" w:hAnsi="Times New Roman" w:eastAsia="Times New Roman" w:cs="Times New Roman"/>
      <w:b/>
      <w:bCs/>
      <w:sz w:val="16"/>
      <w:szCs w:val="24"/>
      <w:lang w:eastAsia="ru-RU"/>
    </w:rPr>
  </w:style>
  <w:style w:type="character" w:styleId="904" w:customStyle="1">
    <w:name w:val="Заголовок 3 Знак"/>
    <w:basedOn w:val="720"/>
    <w:link w:val="713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styleId="905" w:customStyle="1">
    <w:name w:val="Заголовок 6 Знак"/>
    <w:basedOn w:val="720"/>
    <w:link w:val="716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styleId="906" w:customStyle="1">
    <w:name w:val="defaultlabelstyle3"/>
    <w:rPr>
      <w:rFonts w:hint="default" w:ascii="Trebuchet MS" w:hAnsi="Trebuchet MS"/>
      <w:color w:val="333333"/>
    </w:rPr>
  </w:style>
  <w:style w:type="paragraph" w:styleId="907" w:customStyle="1">
    <w:name w:val="Стиль ИС"/>
    <w:basedOn w:val="710"/>
    <w:link w:val="908"/>
    <w:qFormat/>
    <w:pPr>
      <w:ind w:right="21"/>
      <w:jc w:val="both"/>
    </w:pPr>
    <w:rPr>
      <w:sz w:val="22"/>
      <w:szCs w:val="22"/>
    </w:rPr>
  </w:style>
  <w:style w:type="character" w:styleId="908" w:customStyle="1">
    <w:name w:val="Стиль ИС Знак"/>
    <w:link w:val="907"/>
    <w:rPr>
      <w:rFonts w:ascii="Times New Roman" w:hAnsi="Times New Roman" w:eastAsia="Times New Roman" w:cs="Times New Roman"/>
      <w:lang w:eastAsia="ru-RU"/>
    </w:rPr>
  </w:style>
  <w:style w:type="paragraph" w:styleId="909" w:customStyle="1">
    <w:name w:val="ис"/>
    <w:basedOn w:val="710"/>
    <w:link w:val="910"/>
    <w:qFormat/>
    <w:pPr>
      <w:ind w:left="142" w:right="-2"/>
      <w:jc w:val="center"/>
    </w:pPr>
    <w:rPr>
      <w:b/>
    </w:rPr>
  </w:style>
  <w:style w:type="character" w:styleId="910" w:customStyle="1">
    <w:name w:val="ис Знак"/>
    <w:link w:val="909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911">
    <w:name w:val="List Bullet"/>
    <w:basedOn w:val="710"/>
    <w:unhideWhenUsed/>
    <w:pPr>
      <w:jc w:val="both"/>
    </w:pPr>
    <w:rPr>
      <w:bCs/>
      <w:sz w:val="28"/>
      <w:szCs w:val="28"/>
    </w:rPr>
  </w:style>
  <w:style w:type="numbering" w:styleId="912" w:customStyle="1">
    <w:name w:val="Нет списка1"/>
    <w:next w:val="722"/>
    <w:semiHidden/>
  </w:style>
  <w:style w:type="paragraph" w:styleId="913" w:customStyle="1">
    <w:name w:val="Заголовок к тексту"/>
    <w:basedOn w:val="710"/>
    <w:next w:val="893"/>
    <w:pPr>
      <w:spacing w:after="480" w:line="240" w:lineRule="exact"/>
    </w:pPr>
    <w:rPr>
      <w:b/>
      <w:sz w:val="28"/>
      <w:szCs w:val="20"/>
    </w:rPr>
  </w:style>
  <w:style w:type="paragraph" w:styleId="914" w:customStyle="1">
    <w:name w:val="регистрационные поля"/>
    <w:basedOn w:val="710"/>
    <w:pPr>
      <w:jc w:val="center"/>
      <w:spacing w:line="240" w:lineRule="exact"/>
    </w:pPr>
    <w:rPr>
      <w:sz w:val="28"/>
      <w:szCs w:val="20"/>
      <w:lang w:val="en-US"/>
    </w:rPr>
  </w:style>
  <w:style w:type="paragraph" w:styleId="915">
    <w:name w:val="Footer"/>
    <w:basedOn w:val="710"/>
    <w:link w:val="916"/>
    <w:pPr>
      <w:tabs>
        <w:tab w:val="center" w:pos="4677" w:leader="none"/>
        <w:tab w:val="right" w:pos="9355" w:leader="none"/>
      </w:tabs>
    </w:pPr>
    <w:rPr>
      <w:sz w:val="28"/>
      <w:szCs w:val="20"/>
    </w:rPr>
  </w:style>
  <w:style w:type="character" w:styleId="916" w:customStyle="1">
    <w:name w:val="Нижний колонтитул Знак"/>
    <w:basedOn w:val="720"/>
    <w:link w:val="915"/>
    <w:rPr>
      <w:rFonts w:ascii="Times New Roman" w:hAnsi="Times New Roman" w:eastAsia="Times New Roman" w:cs="Times New Roman"/>
      <w:sz w:val="28"/>
      <w:szCs w:val="20"/>
    </w:rPr>
  </w:style>
  <w:style w:type="paragraph" w:styleId="917" w:customStyle="1">
    <w:name w:val="Подпись на  бланке должностного лица"/>
    <w:basedOn w:val="710"/>
    <w:next w:val="893"/>
    <w:pPr>
      <w:ind w:left="7088"/>
      <w:spacing w:before="480" w:line="240" w:lineRule="exact"/>
    </w:pPr>
    <w:rPr>
      <w:sz w:val="28"/>
      <w:szCs w:val="20"/>
    </w:rPr>
  </w:style>
  <w:style w:type="paragraph" w:styleId="918">
    <w:name w:val="Signature"/>
    <w:basedOn w:val="710"/>
    <w:next w:val="893"/>
    <w:link w:val="919"/>
    <w:pPr>
      <w:spacing w:before="480" w:line="240" w:lineRule="exact"/>
      <w:tabs>
        <w:tab w:val="left" w:pos="5103" w:leader="none"/>
        <w:tab w:val="right" w:pos="9639" w:leader="none"/>
      </w:tabs>
    </w:pPr>
    <w:rPr>
      <w:sz w:val="28"/>
      <w:szCs w:val="20"/>
    </w:rPr>
  </w:style>
  <w:style w:type="character" w:styleId="919" w:customStyle="1">
    <w:name w:val="Подпись Знак"/>
    <w:basedOn w:val="720"/>
    <w:link w:val="918"/>
    <w:rPr>
      <w:rFonts w:ascii="Times New Roman" w:hAnsi="Times New Roman" w:eastAsia="Times New Roman" w:cs="Times New Roman"/>
      <w:sz w:val="28"/>
      <w:szCs w:val="20"/>
    </w:rPr>
  </w:style>
  <w:style w:type="paragraph" w:styleId="920" w:customStyle="1">
    <w:name w:val="Приложение"/>
    <w:basedOn w:val="893"/>
    <w:pPr>
      <w:ind w:left="1985" w:hanging="1985"/>
      <w:jc w:val="both"/>
      <w:spacing w:before="240" w:after="0" w:line="240" w:lineRule="exact"/>
      <w:tabs>
        <w:tab w:val="left" w:pos="1673" w:leader="none"/>
      </w:tabs>
    </w:pPr>
    <w:rPr>
      <w:sz w:val="28"/>
      <w:szCs w:val="20"/>
    </w:rPr>
  </w:style>
  <w:style w:type="paragraph" w:styleId="921">
    <w:name w:val="Block Text"/>
    <w:basedOn w:val="710"/>
    <w:pPr>
      <w:ind w:left="72" w:right="4855"/>
      <w:jc w:val="center"/>
      <w:tabs>
        <w:tab w:val="left" w:pos="72" w:leader="none"/>
        <w:tab w:val="left" w:pos="3960" w:leader="none"/>
        <w:tab w:val="left" w:pos="6192" w:leader="none"/>
      </w:tabs>
    </w:pPr>
    <w:rPr>
      <w:b/>
      <w:bCs/>
      <w:sz w:val="20"/>
    </w:rPr>
  </w:style>
  <w:style w:type="numbering" w:styleId="922" w:customStyle="1">
    <w:name w:val="Нет списка2"/>
    <w:next w:val="722"/>
    <w:semiHidden/>
  </w:style>
  <w:style w:type="paragraph" w:styleId="923">
    <w:name w:val="Header"/>
    <w:basedOn w:val="710"/>
    <w:link w:val="924"/>
    <w:uiPriority w:val="99"/>
    <w:unhideWhenUsed/>
    <w:pPr>
      <w:spacing w:after="200" w:line="276" w:lineRule="auto"/>
      <w:tabs>
        <w:tab w:val="center" w:pos="4677" w:leader="none"/>
        <w:tab w:val="right" w:pos="9355" w:leader="none"/>
      </w:tabs>
    </w:pPr>
    <w:rPr>
      <w:rFonts w:ascii="Calibri" w:hAnsi="Calibri" w:eastAsia="Calibri"/>
      <w:sz w:val="22"/>
      <w:szCs w:val="22"/>
      <w:lang w:eastAsia="en-US"/>
    </w:rPr>
  </w:style>
  <w:style w:type="character" w:styleId="924" w:customStyle="1">
    <w:name w:val="Верхний колонтитул Знак"/>
    <w:basedOn w:val="720"/>
    <w:link w:val="923"/>
    <w:uiPriority w:val="99"/>
    <w:rPr>
      <w:rFonts w:ascii="Calibri" w:hAnsi="Calibri" w:eastAsia="Calibri" w:cs="Times New Roman"/>
    </w:rPr>
  </w:style>
  <w:style w:type="character" w:styleId="925">
    <w:name w:val="annotation reference"/>
    <w:uiPriority w:val="99"/>
    <w:semiHidden/>
    <w:unhideWhenUsed/>
    <w:rPr>
      <w:sz w:val="16"/>
      <w:szCs w:val="16"/>
    </w:rPr>
  </w:style>
  <w:style w:type="paragraph" w:styleId="926">
    <w:name w:val="annotation text"/>
    <w:basedOn w:val="710"/>
    <w:link w:val="927"/>
    <w:uiPriority w:val="99"/>
    <w:semiHidden/>
    <w:unhideWhenUsed/>
    <w:pPr>
      <w:spacing w:after="200" w:line="276" w:lineRule="auto"/>
    </w:pPr>
    <w:rPr>
      <w:rFonts w:ascii="Calibri" w:hAnsi="Calibri" w:eastAsia="Calibri"/>
      <w:sz w:val="20"/>
      <w:szCs w:val="20"/>
      <w:lang w:eastAsia="en-US"/>
    </w:rPr>
  </w:style>
  <w:style w:type="character" w:styleId="927" w:customStyle="1">
    <w:name w:val="Текст примечания Знак"/>
    <w:basedOn w:val="720"/>
    <w:link w:val="926"/>
    <w:uiPriority w:val="99"/>
    <w:semiHidden/>
    <w:rPr>
      <w:rFonts w:ascii="Calibri" w:hAnsi="Calibri" w:eastAsia="Calibri" w:cs="Times New Roman"/>
      <w:sz w:val="20"/>
      <w:szCs w:val="20"/>
    </w:rPr>
  </w:style>
  <w:style w:type="paragraph" w:styleId="928">
    <w:name w:val="annotation subject"/>
    <w:basedOn w:val="926"/>
    <w:next w:val="926"/>
    <w:link w:val="929"/>
    <w:uiPriority w:val="99"/>
    <w:semiHidden/>
    <w:unhideWhenUsed/>
    <w:rPr>
      <w:b/>
      <w:bCs/>
    </w:rPr>
  </w:style>
  <w:style w:type="character" w:styleId="929" w:customStyle="1">
    <w:name w:val="Тема примечания Знак"/>
    <w:basedOn w:val="927"/>
    <w:link w:val="928"/>
    <w:uiPriority w:val="99"/>
    <w:semiHidden/>
    <w:rPr>
      <w:rFonts w:ascii="Calibri" w:hAnsi="Calibri" w:eastAsia="Calibri" w:cs="Times New Roman"/>
      <w:b/>
      <w:bCs/>
      <w:sz w:val="20"/>
      <w:szCs w:val="20"/>
    </w:rPr>
  </w:style>
  <w:style w:type="table" w:styleId="930">
    <w:name w:val="Table Grid"/>
    <w:basedOn w:val="721"/>
    <w:uiPriority w:val="5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numbering" w:styleId="931" w:customStyle="1">
    <w:name w:val="Нет списка3"/>
    <w:next w:val="722"/>
    <w:uiPriority w:val="99"/>
    <w:semiHidden/>
    <w:unhideWhenUsed/>
  </w:style>
  <w:style w:type="numbering" w:styleId="932" w:customStyle="1">
    <w:name w:val="Нет списка11"/>
    <w:next w:val="722"/>
    <w:semiHidden/>
  </w:style>
  <w:style w:type="paragraph" w:styleId="933">
    <w:name w:val="Title"/>
    <w:basedOn w:val="710"/>
    <w:next w:val="710"/>
    <w:link w:val="934"/>
    <w:uiPriority w:val="10"/>
    <w:qFormat/>
    <w:pPr>
      <w:jc w:val="center"/>
      <w:spacing w:before="240" w:after="60" w:line="276" w:lineRule="auto"/>
      <w:outlineLvl w:val="0"/>
    </w:pPr>
    <w:rPr>
      <w:rFonts w:ascii="Cambria" w:hAnsi="Cambria"/>
      <w:b/>
      <w:bCs/>
      <w:sz w:val="32"/>
      <w:szCs w:val="32"/>
      <w:lang w:eastAsia="en-US"/>
    </w:rPr>
  </w:style>
  <w:style w:type="character" w:styleId="934" w:customStyle="1">
    <w:name w:val="Название Знак"/>
    <w:basedOn w:val="720"/>
    <w:link w:val="933"/>
    <w:uiPriority w:val="10"/>
    <w:rPr>
      <w:rFonts w:ascii="Cambria" w:hAnsi="Cambria" w:eastAsia="Times New Roman" w:cs="Times New Roman"/>
      <w:b/>
      <w:bCs/>
      <w:sz w:val="32"/>
      <w:szCs w:val="32"/>
    </w:rPr>
  </w:style>
  <w:style w:type="paragraph" w:styleId="935">
    <w:name w:val="Body Text Indent"/>
    <w:basedOn w:val="710"/>
    <w:link w:val="936"/>
    <w:uiPriority w:val="99"/>
    <w:unhideWhenUsed/>
    <w:pPr>
      <w:ind w:left="283"/>
      <w:spacing w:after="120"/>
    </w:pPr>
  </w:style>
  <w:style w:type="character" w:styleId="936" w:customStyle="1">
    <w:name w:val="Основной текст с отступом Знак"/>
    <w:basedOn w:val="720"/>
    <w:link w:val="93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7">
    <w:name w:val="Body Text Indent 2"/>
    <w:basedOn w:val="710"/>
    <w:link w:val="938"/>
    <w:uiPriority w:val="99"/>
    <w:semiHidden/>
    <w:unhideWhenUsed/>
    <w:pPr>
      <w:ind w:left="283"/>
      <w:spacing w:after="120" w:line="480" w:lineRule="auto"/>
    </w:pPr>
  </w:style>
  <w:style w:type="character" w:styleId="938" w:customStyle="1">
    <w:name w:val="Основной текст с отступом 2 Знак"/>
    <w:basedOn w:val="720"/>
    <w:link w:val="937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9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940" w:customStyle="1">
    <w:name w:val="Обычный1"/>
    <w:pPr>
      <w:ind w:left="40" w:firstLine="100"/>
      <w:jc w:val="both"/>
      <w:spacing w:after="0" w:line="240" w:lineRule="auto"/>
      <w:widowControl w:val="off"/>
    </w:pPr>
    <w:rPr>
      <w:rFonts w:ascii="Arial" w:hAnsi="Arial" w:eastAsia="Times New Roman" w:cs="Times New Roman"/>
      <w:sz w:val="16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utp.sberbank-ast.ru/AP/Notice/652/Instruction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40A10-4B21-4657-8674-87F75DDFD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 Сергей Григорьевич</dc:creator>
  <cp:keywords/>
  <dc:description/>
  <cp:lastModifiedBy>osleskova@pk.gov</cp:lastModifiedBy>
  <cp:revision>7</cp:revision>
  <dcterms:created xsi:type="dcterms:W3CDTF">2026-08-17T14:44:00Z</dcterms:created>
  <dcterms:modified xsi:type="dcterms:W3CDTF">2026-09-18T12:16:38Z</dcterms:modified>
</cp:coreProperties>
</file>